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9F" w:rsidRDefault="0034519D" w:rsidP="0034519D">
      <w:pPr>
        <w:jc w:val="center"/>
        <w:rPr>
          <w:rFonts w:ascii="Times New Roman" w:hAnsi="Times New Roman"/>
          <w:b/>
        </w:rPr>
      </w:pPr>
      <w:r>
        <w:rPr>
          <w:rFonts w:ascii="Times New Roman" w:hAnsi="Times New Roman"/>
          <w:b/>
        </w:rPr>
        <w:t>Net Metering and Grid Modernization</w:t>
      </w:r>
    </w:p>
    <w:p w:rsidR="0034519D" w:rsidRDefault="0034519D" w:rsidP="0034519D">
      <w:pPr>
        <w:jc w:val="center"/>
        <w:rPr>
          <w:rFonts w:ascii="Times New Roman" w:hAnsi="Times New Roman"/>
          <w:b/>
        </w:rPr>
      </w:pPr>
      <w:r>
        <w:rPr>
          <w:rFonts w:ascii="Times New Roman" w:hAnsi="Times New Roman"/>
          <w:b/>
        </w:rPr>
        <w:t>Restructuring Roundtable</w:t>
      </w:r>
    </w:p>
    <w:p w:rsidR="0034519D" w:rsidRDefault="0034519D" w:rsidP="0034519D">
      <w:pPr>
        <w:jc w:val="center"/>
        <w:rPr>
          <w:rFonts w:ascii="Times New Roman" w:hAnsi="Times New Roman"/>
          <w:b/>
        </w:rPr>
      </w:pPr>
      <w:r>
        <w:rPr>
          <w:rFonts w:ascii="Times New Roman" w:hAnsi="Times New Roman"/>
          <w:b/>
        </w:rPr>
        <w:t>October 26, 2012</w:t>
      </w:r>
    </w:p>
    <w:p w:rsidR="0034519D" w:rsidRDefault="0034519D" w:rsidP="0034519D">
      <w:pPr>
        <w:jc w:val="center"/>
        <w:rPr>
          <w:rFonts w:ascii="Times New Roman" w:hAnsi="Times New Roman"/>
          <w:b/>
        </w:rPr>
      </w:pPr>
      <w:r>
        <w:rPr>
          <w:rFonts w:ascii="Times New Roman" w:hAnsi="Times New Roman"/>
          <w:b/>
        </w:rPr>
        <w:t>Ann G. Berwick</w:t>
      </w:r>
    </w:p>
    <w:p w:rsidR="0034519D" w:rsidRPr="0034519D" w:rsidRDefault="0034519D" w:rsidP="0034519D">
      <w:pPr>
        <w:jc w:val="center"/>
        <w:rPr>
          <w:rFonts w:ascii="Times New Roman" w:hAnsi="Times New Roman"/>
          <w:b/>
        </w:rPr>
      </w:pPr>
      <w:r>
        <w:rPr>
          <w:rFonts w:ascii="Times New Roman" w:hAnsi="Times New Roman"/>
          <w:b/>
        </w:rPr>
        <w:t>Chair, Massachusetts Department of Public Utilities</w:t>
      </w:r>
    </w:p>
    <w:p w:rsidR="00E84241" w:rsidRPr="0034519D" w:rsidRDefault="00E84241">
      <w:pPr>
        <w:rPr>
          <w:rFonts w:ascii="Times New Roman" w:hAnsi="Times New Roman"/>
          <w:b/>
        </w:rPr>
      </w:pPr>
    </w:p>
    <w:p w:rsidR="00E84241" w:rsidRPr="0034519D" w:rsidRDefault="00E84241" w:rsidP="0083650C">
      <w:pPr>
        <w:pStyle w:val="BlockText"/>
      </w:pPr>
      <w:r w:rsidRPr="0034519D">
        <w:t xml:space="preserve">I’m going to give a primer on net metering for the only partly initiated.  Sort of the Cliff notes version.  To do the deep statutory analysis, we may have to turn to the real gurus </w:t>
      </w:r>
      <w:r w:rsidR="00EF4EFA" w:rsidRPr="0034519D">
        <w:t>on the DPU staff</w:t>
      </w:r>
      <w:r w:rsidRPr="0034519D">
        <w:t xml:space="preserve">: </w:t>
      </w:r>
      <w:r w:rsidR="00846BF8" w:rsidRPr="0034519D">
        <w:t xml:space="preserve">my colleagues </w:t>
      </w:r>
      <w:r w:rsidRPr="0034519D">
        <w:t xml:space="preserve">Laura Bickel, Nathan Phelps, and Mike Wallerstein.  </w:t>
      </w:r>
      <w:r w:rsidR="00183D28" w:rsidRPr="0034519D">
        <w:t xml:space="preserve">I do want to warn you that even the Cliff notes version of net metering </w:t>
      </w:r>
      <w:r w:rsidR="009D3CEC" w:rsidRPr="0034519D">
        <w:t>quickly gets nerdy</w:t>
      </w:r>
      <w:r w:rsidR="00F60CC0" w:rsidRPr="0034519D">
        <w:t>.</w:t>
      </w:r>
    </w:p>
    <w:p w:rsidR="00E84241" w:rsidRPr="0034519D" w:rsidRDefault="00E84241" w:rsidP="0083650C">
      <w:pPr>
        <w:pStyle w:val="BlockText"/>
      </w:pPr>
      <w:r w:rsidRPr="0034519D">
        <w:t xml:space="preserve">In the </w:t>
      </w:r>
      <w:r w:rsidR="008C328E" w:rsidRPr="0034519D">
        <w:t xml:space="preserve">simplest </w:t>
      </w:r>
      <w:r w:rsidRPr="0034519D">
        <w:t xml:space="preserve">terms, think about net metering as </w:t>
      </w:r>
      <w:r w:rsidR="0083650C" w:rsidRPr="0034519D">
        <w:t xml:space="preserve">providing two </w:t>
      </w:r>
      <w:r w:rsidR="00545559" w:rsidRPr="0034519D">
        <w:t xml:space="preserve">main </w:t>
      </w:r>
      <w:r w:rsidR="0083650C" w:rsidRPr="0034519D">
        <w:t>benefits</w:t>
      </w:r>
      <w:r w:rsidR="008C328E" w:rsidRPr="0034519D">
        <w:t xml:space="preserve"> to a cus</w:t>
      </w:r>
      <w:r w:rsidR="00C011B3" w:rsidRPr="0034519D">
        <w:t>tomer.  It allows a customer to</w:t>
      </w:r>
      <w:r w:rsidR="0083650C" w:rsidRPr="0034519D">
        <w:t xml:space="preserve"> (1) offset </w:t>
      </w:r>
      <w:r w:rsidR="00545559" w:rsidRPr="0034519D">
        <w:t xml:space="preserve">its </w:t>
      </w:r>
      <w:r w:rsidR="00A36C7F" w:rsidRPr="0034519D">
        <w:t xml:space="preserve">usual </w:t>
      </w:r>
      <w:r w:rsidR="008C328E" w:rsidRPr="0034519D">
        <w:t xml:space="preserve">electricity </w:t>
      </w:r>
      <w:r w:rsidR="00A36C7F" w:rsidRPr="0034519D">
        <w:t>purchase with its on-site generation</w:t>
      </w:r>
      <w:r w:rsidR="0083650C" w:rsidRPr="0034519D">
        <w:t>; and (2) </w:t>
      </w:r>
      <w:r w:rsidR="008C328E" w:rsidRPr="0034519D">
        <w:t xml:space="preserve">spin </w:t>
      </w:r>
      <w:r w:rsidRPr="0034519D">
        <w:t xml:space="preserve">the electric meter backwards if </w:t>
      </w:r>
      <w:r w:rsidR="0083650C" w:rsidRPr="0034519D">
        <w:t xml:space="preserve">the </w:t>
      </w:r>
      <w:r w:rsidRPr="0034519D">
        <w:t xml:space="preserve">electricity </w:t>
      </w:r>
      <w:r w:rsidR="005778A7" w:rsidRPr="0034519D">
        <w:t xml:space="preserve">it </w:t>
      </w:r>
      <w:r w:rsidR="008C328E" w:rsidRPr="0034519D">
        <w:t>generate</w:t>
      </w:r>
      <w:r w:rsidR="005778A7" w:rsidRPr="0034519D">
        <w:t>s</w:t>
      </w:r>
      <w:r w:rsidR="008C328E" w:rsidRPr="0034519D">
        <w:t xml:space="preserve"> </w:t>
      </w:r>
      <w:r w:rsidR="0083650C" w:rsidRPr="0034519D">
        <w:t xml:space="preserve">exceeds </w:t>
      </w:r>
      <w:r w:rsidR="005778A7" w:rsidRPr="0034519D">
        <w:t xml:space="preserve">its </w:t>
      </w:r>
      <w:r w:rsidR="008370C6" w:rsidRPr="0034519D">
        <w:t xml:space="preserve">on-site </w:t>
      </w:r>
      <w:r w:rsidR="00A36C7F" w:rsidRPr="0034519D">
        <w:t>use</w:t>
      </w:r>
      <w:r w:rsidRPr="0034519D">
        <w:t>.</w:t>
      </w:r>
      <w:r w:rsidR="00266004" w:rsidRPr="0034519D">
        <w:t xml:space="preserve">  </w:t>
      </w:r>
      <w:r w:rsidR="005778A7" w:rsidRPr="0034519D">
        <w:t>It’s</w:t>
      </w:r>
      <w:r w:rsidR="00266004" w:rsidRPr="0034519D">
        <w:t xml:space="preserve"> an incentive program for promoting the development </w:t>
      </w:r>
      <w:r w:rsidR="004C5818" w:rsidRPr="0034519D">
        <w:t xml:space="preserve">of </w:t>
      </w:r>
      <w:r w:rsidR="0083650C" w:rsidRPr="0034519D">
        <w:t xml:space="preserve">distributed generation, primarily </w:t>
      </w:r>
      <w:r w:rsidR="008C328E" w:rsidRPr="0034519D">
        <w:t>renewable</w:t>
      </w:r>
      <w:r w:rsidR="00C011B3" w:rsidRPr="0034519D">
        <w:t>s</w:t>
      </w:r>
      <w:r w:rsidR="008C328E" w:rsidRPr="0034519D">
        <w:t xml:space="preserve">, which </w:t>
      </w:r>
      <w:r w:rsidR="00B640C3" w:rsidRPr="0034519D">
        <w:t>aligns with a number of other Patrick administration policies.</w:t>
      </w:r>
    </w:p>
    <w:p w:rsidR="005D404D" w:rsidRPr="0034519D" w:rsidRDefault="00846BF8" w:rsidP="0083650C">
      <w:pPr>
        <w:pStyle w:val="BlockText"/>
      </w:pPr>
      <w:r w:rsidRPr="0034519D">
        <w:t>You may know of a number of other related administration initiatives that are under way.  One is  an effort to address the barriers to interconnection, which you’ll hear more about later this morning.  Another is a notice of inquiry on grid modernization that the DPU just initiated, intended to launch us on the path toward a grid that can better monitor and self-heal during outage events, that can support electric vehicles, and that will give consumers price signals that will enable them to control their energy costs.</w:t>
      </w:r>
      <w:r w:rsidR="005D404D" w:rsidRPr="0034519D">
        <w:t xml:space="preserve">  We welcome participation in our all-day kick-off wor</w:t>
      </w:r>
      <w:r w:rsidR="003B3142" w:rsidRPr="0034519D">
        <w:t>k</w:t>
      </w:r>
      <w:r w:rsidR="005D404D" w:rsidRPr="0034519D">
        <w:t>shop on November 14.</w:t>
      </w:r>
      <w:r w:rsidR="000D686A" w:rsidRPr="0034519D">
        <w:t xml:space="preserve">  Registration closes next Tuesday.</w:t>
      </w:r>
    </w:p>
    <w:p w:rsidR="00CE5A14" w:rsidRPr="0034519D" w:rsidRDefault="00CE5A14" w:rsidP="0083650C">
      <w:pPr>
        <w:pStyle w:val="BlockText"/>
        <w:rPr>
          <w:b/>
        </w:rPr>
      </w:pPr>
      <w:r w:rsidRPr="0034519D">
        <w:t>And here’s what we’re seeing since close to the start of the Patrick administration, in terms of the growth in distributed generation, most of which is renewables.</w:t>
      </w:r>
      <w:r w:rsidR="00DD10E9" w:rsidRPr="0034519D">
        <w:t xml:space="preserve">  </w:t>
      </w:r>
      <w:r w:rsidR="00DD10E9" w:rsidRPr="0034519D">
        <w:rPr>
          <w:b/>
        </w:rPr>
        <w:t>[slide 2]</w:t>
      </w:r>
    </w:p>
    <w:p w:rsidR="00E84241" w:rsidRPr="0034519D" w:rsidRDefault="00E84241">
      <w:pPr>
        <w:rPr>
          <w:rFonts w:ascii="Times New Roman" w:hAnsi="Times New Roman"/>
        </w:rPr>
      </w:pPr>
    </w:p>
    <w:p w:rsidR="00E84241" w:rsidRPr="0034519D" w:rsidRDefault="00E84241" w:rsidP="0083650C">
      <w:pPr>
        <w:pStyle w:val="BlockText"/>
      </w:pPr>
      <w:r w:rsidRPr="0034519D">
        <w:t xml:space="preserve">Net metering in the Commonwealth is all about before </w:t>
      </w:r>
      <w:r w:rsidR="00D269CE" w:rsidRPr="0034519D">
        <w:t xml:space="preserve">and after </w:t>
      </w:r>
      <w:r w:rsidRPr="0034519D">
        <w:t>the passage of the Green Communities Act in 2008.</w:t>
      </w:r>
    </w:p>
    <w:p w:rsidR="00E84241" w:rsidRPr="0034519D" w:rsidRDefault="00272E5D">
      <w:pPr>
        <w:rPr>
          <w:rFonts w:ascii="Times New Roman" w:hAnsi="Times New Roman"/>
          <w:i/>
        </w:rPr>
      </w:pPr>
      <w:r w:rsidRPr="0034519D">
        <w:rPr>
          <w:rFonts w:ascii="Times New Roman" w:hAnsi="Times New Roman"/>
        </w:rPr>
        <w:t xml:space="preserve">There </w:t>
      </w:r>
      <w:r w:rsidRPr="0034519D">
        <w:rPr>
          <w:rFonts w:ascii="Times New Roman" w:hAnsi="Times New Roman"/>
          <w:i/>
        </w:rPr>
        <w:t>was</w:t>
      </w:r>
      <w:r w:rsidRPr="0034519D">
        <w:rPr>
          <w:rFonts w:ascii="Times New Roman" w:hAnsi="Times New Roman"/>
        </w:rPr>
        <w:t xml:space="preserve"> net metering in MA before the GCA.  It applied to </w:t>
      </w:r>
      <w:r w:rsidRPr="0034519D">
        <w:rPr>
          <w:rFonts w:ascii="Times New Roman" w:hAnsi="Times New Roman"/>
          <w:i/>
        </w:rPr>
        <w:t>all</w:t>
      </w:r>
      <w:r w:rsidRPr="0034519D">
        <w:rPr>
          <w:rFonts w:ascii="Times New Roman" w:hAnsi="Times New Roman"/>
        </w:rPr>
        <w:t xml:space="preserve"> generating resources up to 60</w:t>
      </w:r>
      <w:r w:rsidR="008C328E" w:rsidRPr="0034519D">
        <w:rPr>
          <w:rFonts w:ascii="Times New Roman" w:hAnsi="Times New Roman"/>
        </w:rPr>
        <w:t> </w:t>
      </w:r>
      <w:r w:rsidRPr="0034519D">
        <w:rPr>
          <w:rFonts w:ascii="Times New Roman" w:hAnsi="Times New Roman"/>
        </w:rPr>
        <w:t xml:space="preserve">kW, not just renewables, and those resources got paid the </w:t>
      </w:r>
      <w:r w:rsidRPr="0034519D">
        <w:rPr>
          <w:rFonts w:ascii="Times New Roman" w:hAnsi="Times New Roman"/>
          <w:i/>
        </w:rPr>
        <w:t xml:space="preserve">wholesale </w:t>
      </w:r>
      <w:r w:rsidRPr="0034519D">
        <w:rPr>
          <w:rFonts w:ascii="Times New Roman" w:hAnsi="Times New Roman"/>
        </w:rPr>
        <w:t xml:space="preserve">rather than the </w:t>
      </w:r>
      <w:r w:rsidRPr="0034519D">
        <w:rPr>
          <w:rFonts w:ascii="Times New Roman" w:hAnsi="Times New Roman"/>
          <w:i/>
        </w:rPr>
        <w:t>retail</w:t>
      </w:r>
    </w:p>
    <w:p w:rsidR="003733A9" w:rsidRPr="0034519D" w:rsidRDefault="00272E5D" w:rsidP="0083650C">
      <w:pPr>
        <w:pStyle w:val="BlockText"/>
      </w:pPr>
      <w:r w:rsidRPr="0034519D">
        <w:t>rate</w:t>
      </w:r>
      <w:r w:rsidR="0054011D" w:rsidRPr="0034519D">
        <w:t xml:space="preserve"> for generation that exceeded on-site use</w:t>
      </w:r>
      <w:r w:rsidRPr="0034519D">
        <w:t>.</w:t>
      </w:r>
      <w:r w:rsidR="003733A9" w:rsidRPr="0034519D">
        <w:t xml:space="preserve">  </w:t>
      </w:r>
      <w:r w:rsidR="00A36C7F" w:rsidRPr="0034519D">
        <w:t>These</w:t>
      </w:r>
      <w:r w:rsidR="000D686A" w:rsidRPr="0034519D">
        <w:t xml:space="preserve"> </w:t>
      </w:r>
      <w:r w:rsidR="003733A9" w:rsidRPr="0034519D">
        <w:t>1981 regulations, which were adopted pursuant to the Public Utility Regulatory Policy Act of 1978, were not very detailed.</w:t>
      </w:r>
    </w:p>
    <w:p w:rsidR="00272E5D" w:rsidRPr="0034519D" w:rsidRDefault="003733A9" w:rsidP="0083650C">
      <w:pPr>
        <w:pStyle w:val="BlockText"/>
      </w:pPr>
      <w:r w:rsidRPr="0034519D">
        <w:t>T</w:t>
      </w:r>
      <w:r w:rsidR="00272E5D" w:rsidRPr="0034519D">
        <w:t>he real plot starts with the GCA</w:t>
      </w:r>
      <w:r w:rsidR="00CA22B3" w:rsidRPr="0034519D">
        <w:t xml:space="preserve"> in 2008</w:t>
      </w:r>
      <w:r w:rsidR="00272E5D" w:rsidRPr="0034519D">
        <w:t xml:space="preserve">.  The GCA </w:t>
      </w:r>
      <w:r w:rsidR="00D269CE" w:rsidRPr="0034519D">
        <w:t xml:space="preserve">largely </w:t>
      </w:r>
      <w:r w:rsidR="00D03C37" w:rsidRPr="0034519D">
        <w:t xml:space="preserve">retained </w:t>
      </w:r>
      <w:r w:rsidR="00D269CE" w:rsidRPr="0034519D">
        <w:t xml:space="preserve">the </w:t>
      </w:r>
      <w:r w:rsidR="00272E5D" w:rsidRPr="0034519D">
        <w:t xml:space="preserve">net metering </w:t>
      </w:r>
      <w:r w:rsidR="00D269CE" w:rsidRPr="0034519D">
        <w:t xml:space="preserve">status quo </w:t>
      </w:r>
      <w:r w:rsidR="00272E5D" w:rsidRPr="0034519D">
        <w:t xml:space="preserve">for all types of generating resources up to 60 kW.  </w:t>
      </w:r>
      <w:r w:rsidR="00D269CE" w:rsidRPr="0034519D">
        <w:t>However</w:t>
      </w:r>
      <w:r w:rsidR="00272E5D" w:rsidRPr="0034519D">
        <w:t xml:space="preserve">, </w:t>
      </w:r>
      <w:r w:rsidR="005778A7" w:rsidRPr="0034519D">
        <w:t>it</w:t>
      </w:r>
      <w:r w:rsidR="00272E5D" w:rsidRPr="0034519D">
        <w:t xml:space="preserve"> </w:t>
      </w:r>
      <w:r w:rsidR="00D03C37" w:rsidRPr="0034519D">
        <w:t>gave additional</w:t>
      </w:r>
      <w:r w:rsidR="00D269CE" w:rsidRPr="0034519D">
        <w:t xml:space="preserve"> benefits to</w:t>
      </w:r>
      <w:r w:rsidR="00075DB6" w:rsidRPr="0034519D">
        <w:t xml:space="preserve"> </w:t>
      </w:r>
      <w:r w:rsidR="00272E5D" w:rsidRPr="0034519D">
        <w:t>wind</w:t>
      </w:r>
      <w:r w:rsidR="00D03C37" w:rsidRPr="0034519D">
        <w:t xml:space="preserve">, </w:t>
      </w:r>
      <w:r w:rsidR="00272E5D" w:rsidRPr="0034519D">
        <w:t>solar</w:t>
      </w:r>
      <w:r w:rsidR="00D03C37" w:rsidRPr="0034519D">
        <w:t xml:space="preserve">, </w:t>
      </w:r>
      <w:r w:rsidR="00272E5D" w:rsidRPr="0034519D">
        <w:t>and renewables on farms</w:t>
      </w:r>
      <w:r w:rsidR="00D269CE" w:rsidRPr="0034519D">
        <w:t>.</w:t>
      </w:r>
      <w:r w:rsidR="008370C6" w:rsidRPr="0034519D">
        <w:t xml:space="preserve"> </w:t>
      </w:r>
      <w:r w:rsidR="00D269CE" w:rsidRPr="0034519D">
        <w:t xml:space="preserve"> Most notably, wind, solar, and </w:t>
      </w:r>
      <w:r w:rsidR="00797520" w:rsidRPr="0034519D">
        <w:t>farm-based renewables</w:t>
      </w:r>
      <w:r w:rsidR="00D269CE" w:rsidRPr="0034519D">
        <w:t xml:space="preserve"> </w:t>
      </w:r>
      <w:r w:rsidR="00561144" w:rsidRPr="0034519D">
        <w:t>could</w:t>
      </w:r>
      <w:r w:rsidR="008370C6" w:rsidRPr="0034519D">
        <w:t xml:space="preserve"> net meter </w:t>
      </w:r>
      <w:r w:rsidR="00D269CE" w:rsidRPr="0034519D">
        <w:t xml:space="preserve">up to 2 </w:t>
      </w:r>
      <w:r w:rsidR="005778A7" w:rsidRPr="0034519D">
        <w:t>MW</w:t>
      </w:r>
      <w:r w:rsidR="00D269CE" w:rsidRPr="0034519D">
        <w:t xml:space="preserve"> </w:t>
      </w:r>
      <w:r w:rsidR="008370C6" w:rsidRPr="0034519D">
        <w:t xml:space="preserve">and receive </w:t>
      </w:r>
      <w:r w:rsidR="00225388" w:rsidRPr="0034519D">
        <w:t xml:space="preserve">a rate that is closer to </w:t>
      </w:r>
      <w:r w:rsidR="008370C6" w:rsidRPr="0034519D">
        <w:t>retail than wholesale for excess generation.</w:t>
      </w:r>
      <w:r w:rsidR="00A36C7F" w:rsidRPr="0034519D">
        <w:t xml:space="preserve"> </w:t>
      </w:r>
    </w:p>
    <w:p w:rsidR="005862E1" w:rsidRPr="0034519D" w:rsidRDefault="00311A9A">
      <w:pPr>
        <w:pStyle w:val="BlockText"/>
        <w:keepNext/>
      </w:pPr>
      <w:r w:rsidRPr="0034519D">
        <w:lastRenderedPageBreak/>
        <w:t>The GCA mainly did the following</w:t>
      </w:r>
      <w:r w:rsidR="00D03C37" w:rsidRPr="0034519D">
        <w:t>:</w:t>
      </w:r>
    </w:p>
    <w:p w:rsidR="007B0BF5" w:rsidRPr="0034519D" w:rsidRDefault="00311A9A" w:rsidP="00323EF7">
      <w:pPr>
        <w:pStyle w:val="ListParagraph"/>
        <w:numPr>
          <w:ilvl w:val="0"/>
          <w:numId w:val="2"/>
        </w:numPr>
        <w:rPr>
          <w:rFonts w:ascii="Times New Roman" w:hAnsi="Times New Roman"/>
          <w:szCs w:val="24"/>
        </w:rPr>
      </w:pPr>
      <w:r w:rsidRPr="0034519D">
        <w:rPr>
          <w:rFonts w:ascii="Times New Roman" w:hAnsi="Times New Roman"/>
          <w:szCs w:val="24"/>
        </w:rPr>
        <w:t>It created three</w:t>
      </w:r>
      <w:r w:rsidR="007B0BF5" w:rsidRPr="0034519D">
        <w:rPr>
          <w:rFonts w:ascii="Times New Roman" w:hAnsi="Times New Roman"/>
          <w:szCs w:val="24"/>
        </w:rPr>
        <w:t xml:space="preserve"> classes of net metering facilities: class I, up to 60 kW; class II, </w:t>
      </w:r>
      <w:r w:rsidR="00225388" w:rsidRPr="0034519D">
        <w:rPr>
          <w:rFonts w:ascii="Times New Roman" w:hAnsi="Times New Roman"/>
          <w:szCs w:val="24"/>
        </w:rPr>
        <w:t xml:space="preserve">from </w:t>
      </w:r>
      <w:r w:rsidR="007B0BF5" w:rsidRPr="0034519D">
        <w:rPr>
          <w:rFonts w:ascii="Times New Roman" w:hAnsi="Times New Roman"/>
          <w:szCs w:val="24"/>
        </w:rPr>
        <w:t xml:space="preserve">60 kW </w:t>
      </w:r>
      <w:r w:rsidR="00225388" w:rsidRPr="0034519D">
        <w:rPr>
          <w:rFonts w:ascii="Times New Roman" w:hAnsi="Times New Roman"/>
          <w:szCs w:val="24"/>
        </w:rPr>
        <w:t xml:space="preserve">up to </w:t>
      </w:r>
      <w:r w:rsidR="007B0BF5" w:rsidRPr="0034519D">
        <w:rPr>
          <w:rFonts w:ascii="Times New Roman" w:hAnsi="Times New Roman"/>
          <w:szCs w:val="24"/>
        </w:rPr>
        <w:t>1</w:t>
      </w:r>
      <w:r w:rsidR="00225388" w:rsidRPr="0034519D">
        <w:rPr>
          <w:rFonts w:ascii="Times New Roman" w:hAnsi="Times New Roman"/>
          <w:szCs w:val="24"/>
        </w:rPr>
        <w:t> </w:t>
      </w:r>
      <w:r w:rsidR="007B0BF5" w:rsidRPr="0034519D">
        <w:rPr>
          <w:rFonts w:ascii="Times New Roman" w:hAnsi="Times New Roman"/>
          <w:szCs w:val="24"/>
        </w:rPr>
        <w:t xml:space="preserve">MW; and Class III, </w:t>
      </w:r>
      <w:r w:rsidR="00225388" w:rsidRPr="0034519D">
        <w:rPr>
          <w:rFonts w:ascii="Times New Roman" w:hAnsi="Times New Roman"/>
          <w:szCs w:val="24"/>
        </w:rPr>
        <w:t xml:space="preserve">from </w:t>
      </w:r>
      <w:r w:rsidR="007B0BF5" w:rsidRPr="0034519D">
        <w:rPr>
          <w:rFonts w:ascii="Times New Roman" w:hAnsi="Times New Roman"/>
          <w:szCs w:val="24"/>
        </w:rPr>
        <w:t xml:space="preserve">1 MW </w:t>
      </w:r>
      <w:r w:rsidR="00225388" w:rsidRPr="0034519D">
        <w:rPr>
          <w:rFonts w:ascii="Times New Roman" w:hAnsi="Times New Roman"/>
          <w:szCs w:val="24"/>
        </w:rPr>
        <w:t>up to</w:t>
      </w:r>
      <w:r w:rsidR="007B0BF5" w:rsidRPr="0034519D">
        <w:rPr>
          <w:rFonts w:ascii="Times New Roman" w:hAnsi="Times New Roman"/>
          <w:szCs w:val="24"/>
        </w:rPr>
        <w:t xml:space="preserve"> 2 MW.</w:t>
      </w:r>
    </w:p>
    <w:p w:rsidR="007B0BF5" w:rsidRPr="0034519D" w:rsidRDefault="007B0BF5" w:rsidP="00323EF7">
      <w:pPr>
        <w:pStyle w:val="ListParagraph"/>
        <w:numPr>
          <w:ilvl w:val="0"/>
          <w:numId w:val="2"/>
        </w:numPr>
        <w:rPr>
          <w:rFonts w:ascii="Times New Roman" w:hAnsi="Times New Roman"/>
          <w:szCs w:val="24"/>
        </w:rPr>
      </w:pPr>
      <w:r w:rsidRPr="0034519D">
        <w:rPr>
          <w:rFonts w:ascii="Times New Roman" w:hAnsi="Times New Roman"/>
          <w:szCs w:val="24"/>
        </w:rPr>
        <w:t xml:space="preserve">Although Class II and III net metering facilities are limited in size to 1 MW and 2 MW, respectively, </w:t>
      </w:r>
      <w:r w:rsidR="00C000D5" w:rsidRPr="0034519D">
        <w:rPr>
          <w:rFonts w:ascii="Times New Roman" w:hAnsi="Times New Roman"/>
          <w:szCs w:val="24"/>
        </w:rPr>
        <w:t>if the owner or operator is “a municipality or other governmental entity</w:t>
      </w:r>
      <w:r w:rsidR="003134D6" w:rsidRPr="0034519D">
        <w:rPr>
          <w:rFonts w:ascii="Times New Roman" w:hAnsi="Times New Roman"/>
          <w:szCs w:val="24"/>
        </w:rPr>
        <w:t>,</w:t>
      </w:r>
      <w:r w:rsidR="00C000D5" w:rsidRPr="0034519D">
        <w:rPr>
          <w:rFonts w:ascii="Times New Roman" w:hAnsi="Times New Roman"/>
          <w:szCs w:val="24"/>
        </w:rPr>
        <w:t xml:space="preserve">” </w:t>
      </w:r>
      <w:r w:rsidR="003134D6" w:rsidRPr="0034519D">
        <w:rPr>
          <w:rFonts w:ascii="Times New Roman" w:hAnsi="Times New Roman"/>
          <w:szCs w:val="24"/>
        </w:rPr>
        <w:t>in other words,</w:t>
      </w:r>
      <w:r w:rsidR="009905D4" w:rsidRPr="0034519D">
        <w:rPr>
          <w:rFonts w:ascii="Times New Roman" w:hAnsi="Times New Roman"/>
          <w:szCs w:val="24"/>
        </w:rPr>
        <w:t xml:space="preserve"> “</w:t>
      </w:r>
      <w:r w:rsidR="00225388" w:rsidRPr="0034519D">
        <w:rPr>
          <w:rFonts w:ascii="Times New Roman" w:hAnsi="Times New Roman"/>
          <w:szCs w:val="24"/>
        </w:rPr>
        <w:t xml:space="preserve">a </w:t>
      </w:r>
      <w:r w:rsidR="003134D6" w:rsidRPr="0034519D">
        <w:rPr>
          <w:rFonts w:ascii="Times New Roman" w:hAnsi="Times New Roman"/>
          <w:szCs w:val="24"/>
        </w:rPr>
        <w:t>public entity,”</w:t>
      </w:r>
      <w:r w:rsidR="009905D4" w:rsidRPr="0034519D">
        <w:rPr>
          <w:rFonts w:ascii="Times New Roman" w:hAnsi="Times New Roman"/>
          <w:szCs w:val="24"/>
        </w:rPr>
        <w:t xml:space="preserve"> </w:t>
      </w:r>
      <w:r w:rsidR="00C000D5" w:rsidRPr="0034519D">
        <w:rPr>
          <w:rFonts w:ascii="Times New Roman" w:hAnsi="Times New Roman"/>
          <w:szCs w:val="24"/>
        </w:rPr>
        <w:t xml:space="preserve">its generating capacity may be 1 MW (for Class II) or 2 MW (for Class </w:t>
      </w:r>
      <w:r w:rsidR="000D686A" w:rsidRPr="0034519D">
        <w:rPr>
          <w:rFonts w:ascii="Times New Roman" w:hAnsi="Times New Roman"/>
          <w:szCs w:val="24"/>
        </w:rPr>
        <w:t>I</w:t>
      </w:r>
      <w:r w:rsidR="00C000D5" w:rsidRPr="0034519D">
        <w:rPr>
          <w:rFonts w:ascii="Times New Roman" w:hAnsi="Times New Roman"/>
          <w:szCs w:val="24"/>
        </w:rPr>
        <w:t xml:space="preserve">II) </w:t>
      </w:r>
      <w:r w:rsidR="00C000D5" w:rsidRPr="0034519D">
        <w:rPr>
          <w:rFonts w:ascii="Times New Roman" w:hAnsi="Times New Roman"/>
          <w:i/>
          <w:szCs w:val="24"/>
        </w:rPr>
        <w:t>per unit</w:t>
      </w:r>
      <w:r w:rsidR="00C000D5" w:rsidRPr="0034519D">
        <w:rPr>
          <w:rFonts w:ascii="Times New Roman" w:hAnsi="Times New Roman"/>
          <w:szCs w:val="24"/>
        </w:rPr>
        <w:t xml:space="preserve">.  Whatever </w:t>
      </w:r>
      <w:r w:rsidR="003134D6" w:rsidRPr="0034519D">
        <w:rPr>
          <w:rFonts w:ascii="Times New Roman" w:hAnsi="Times New Roman"/>
          <w:szCs w:val="24"/>
        </w:rPr>
        <w:t>“per unit” means</w:t>
      </w:r>
      <w:r w:rsidR="008E3638" w:rsidRPr="0034519D">
        <w:rPr>
          <w:rFonts w:ascii="Times New Roman" w:hAnsi="Times New Roman"/>
          <w:szCs w:val="24"/>
        </w:rPr>
        <w:t>—I’ll come back to that</w:t>
      </w:r>
      <w:r w:rsidR="00C000D5" w:rsidRPr="0034519D">
        <w:rPr>
          <w:rFonts w:ascii="Times New Roman" w:hAnsi="Times New Roman"/>
          <w:szCs w:val="24"/>
        </w:rPr>
        <w:t>.  Note: no cap there.</w:t>
      </w:r>
      <w:r w:rsidR="00074408" w:rsidRPr="0034519D">
        <w:rPr>
          <w:rFonts w:ascii="Times New Roman" w:hAnsi="Times New Roman"/>
          <w:szCs w:val="24"/>
        </w:rPr>
        <w:t xml:space="preserve">  Theoretically, a wind farm</w:t>
      </w:r>
      <w:r w:rsidR="0069717A" w:rsidRPr="0034519D">
        <w:rPr>
          <w:rFonts w:ascii="Times New Roman" w:hAnsi="Times New Roman"/>
          <w:szCs w:val="24"/>
        </w:rPr>
        <w:t xml:space="preserve"> of a </w:t>
      </w:r>
      <w:r w:rsidR="003134D6" w:rsidRPr="0034519D">
        <w:rPr>
          <w:rFonts w:ascii="Times New Roman" w:hAnsi="Times New Roman"/>
          <w:szCs w:val="24"/>
        </w:rPr>
        <w:t>public</w:t>
      </w:r>
      <w:r w:rsidR="0069717A" w:rsidRPr="0034519D">
        <w:rPr>
          <w:rFonts w:ascii="Times New Roman" w:hAnsi="Times New Roman"/>
          <w:szCs w:val="24"/>
        </w:rPr>
        <w:t xml:space="preserve"> entity</w:t>
      </w:r>
      <w:r w:rsidR="00074408" w:rsidRPr="0034519D">
        <w:rPr>
          <w:rFonts w:ascii="Times New Roman" w:hAnsi="Times New Roman"/>
          <w:szCs w:val="24"/>
        </w:rPr>
        <w:t xml:space="preserve"> of </w:t>
      </w:r>
      <w:r w:rsidR="00A73B10" w:rsidRPr="0034519D">
        <w:rPr>
          <w:rFonts w:ascii="Times New Roman" w:hAnsi="Times New Roman"/>
          <w:i/>
          <w:szCs w:val="24"/>
        </w:rPr>
        <w:t>any size</w:t>
      </w:r>
      <w:r w:rsidR="00074408" w:rsidRPr="0034519D">
        <w:rPr>
          <w:rFonts w:ascii="Times New Roman" w:hAnsi="Times New Roman"/>
          <w:szCs w:val="24"/>
        </w:rPr>
        <w:t xml:space="preserve"> </w:t>
      </w:r>
      <w:r w:rsidR="00A73B10" w:rsidRPr="0034519D">
        <w:rPr>
          <w:rFonts w:ascii="Times New Roman" w:hAnsi="Times New Roman"/>
          <w:szCs w:val="24"/>
        </w:rPr>
        <w:t>could net meter under the 2008 statute</w:t>
      </w:r>
      <w:r w:rsidR="008E3638" w:rsidRPr="0034519D">
        <w:rPr>
          <w:rFonts w:ascii="Times New Roman" w:hAnsi="Times New Roman"/>
          <w:szCs w:val="24"/>
        </w:rPr>
        <w:t>, as long as each turbine was no larger than 2 MW</w:t>
      </w:r>
      <w:r w:rsidR="00A73B10" w:rsidRPr="0034519D">
        <w:rPr>
          <w:rFonts w:ascii="Times New Roman" w:hAnsi="Times New Roman"/>
          <w:szCs w:val="24"/>
        </w:rPr>
        <w:t>.</w:t>
      </w:r>
    </w:p>
    <w:p w:rsidR="00591236" w:rsidRPr="0034519D" w:rsidRDefault="00311A9A" w:rsidP="00323EF7">
      <w:pPr>
        <w:pStyle w:val="ListParagraph"/>
        <w:numPr>
          <w:ilvl w:val="0"/>
          <w:numId w:val="2"/>
        </w:numPr>
        <w:rPr>
          <w:rFonts w:ascii="Times New Roman" w:hAnsi="Times New Roman"/>
          <w:szCs w:val="24"/>
        </w:rPr>
      </w:pPr>
      <w:r w:rsidRPr="0034519D">
        <w:rPr>
          <w:rFonts w:ascii="Times New Roman" w:hAnsi="Times New Roman"/>
          <w:szCs w:val="24"/>
        </w:rPr>
        <w:t>The</w:t>
      </w:r>
      <w:r w:rsidR="0088694F" w:rsidRPr="0034519D">
        <w:rPr>
          <w:rFonts w:ascii="Times New Roman" w:hAnsi="Times New Roman"/>
          <w:szCs w:val="24"/>
        </w:rPr>
        <w:t xml:space="preserve"> aggregate capacity of net metering </w:t>
      </w:r>
      <w:r w:rsidR="00F40B6A" w:rsidRPr="0034519D">
        <w:rPr>
          <w:rFonts w:ascii="Times New Roman" w:hAnsi="Times New Roman"/>
          <w:szCs w:val="24"/>
        </w:rPr>
        <w:t>wa</w:t>
      </w:r>
      <w:r w:rsidR="0088694F" w:rsidRPr="0034519D">
        <w:rPr>
          <w:rFonts w:ascii="Times New Roman" w:hAnsi="Times New Roman"/>
          <w:szCs w:val="24"/>
        </w:rPr>
        <w:t xml:space="preserve">s limited to one percent of </w:t>
      </w:r>
      <w:r w:rsidR="00F40B6A" w:rsidRPr="0034519D">
        <w:rPr>
          <w:rFonts w:ascii="Times New Roman" w:hAnsi="Times New Roman"/>
          <w:szCs w:val="24"/>
        </w:rPr>
        <w:t xml:space="preserve">each </w:t>
      </w:r>
      <w:r w:rsidR="0088694F" w:rsidRPr="0034519D">
        <w:rPr>
          <w:rFonts w:ascii="Times New Roman" w:hAnsi="Times New Roman"/>
          <w:szCs w:val="24"/>
        </w:rPr>
        <w:t>distribution company’s peak load.</w:t>
      </w:r>
    </w:p>
    <w:p w:rsidR="00AA26F7" w:rsidRPr="0034519D" w:rsidRDefault="000D686A" w:rsidP="00323EF7">
      <w:pPr>
        <w:pStyle w:val="ListParagraph"/>
        <w:numPr>
          <w:ilvl w:val="0"/>
          <w:numId w:val="2"/>
        </w:numPr>
        <w:rPr>
          <w:rFonts w:ascii="Times New Roman" w:hAnsi="Times New Roman"/>
          <w:szCs w:val="24"/>
        </w:rPr>
      </w:pPr>
      <w:r w:rsidRPr="0034519D">
        <w:rPr>
          <w:rFonts w:ascii="Times New Roman" w:hAnsi="Times New Roman"/>
          <w:szCs w:val="24"/>
        </w:rPr>
        <w:t>The GCA provides that if</w:t>
      </w:r>
      <w:r w:rsidR="00AA26F7" w:rsidRPr="0034519D">
        <w:rPr>
          <w:rFonts w:ascii="Times New Roman" w:hAnsi="Times New Roman"/>
          <w:szCs w:val="24"/>
        </w:rPr>
        <w:t xml:space="preserve"> a customer has </w:t>
      </w:r>
      <w:r w:rsidR="00F40B6A" w:rsidRPr="0034519D">
        <w:rPr>
          <w:rFonts w:ascii="Times New Roman" w:hAnsi="Times New Roman"/>
          <w:szCs w:val="24"/>
        </w:rPr>
        <w:t xml:space="preserve">net </w:t>
      </w:r>
      <w:r w:rsidR="00AA26F7" w:rsidRPr="0034519D">
        <w:rPr>
          <w:rFonts w:ascii="Times New Roman" w:hAnsi="Times New Roman"/>
          <w:szCs w:val="24"/>
        </w:rPr>
        <w:t>excess generation at the end of a billing cycle</w:t>
      </w:r>
      <w:r w:rsidR="00395B76" w:rsidRPr="0034519D">
        <w:rPr>
          <w:rFonts w:ascii="Times New Roman" w:hAnsi="Times New Roman"/>
          <w:szCs w:val="24"/>
        </w:rPr>
        <w:t xml:space="preserve">, </w:t>
      </w:r>
      <w:r w:rsidR="00AA26F7" w:rsidRPr="0034519D">
        <w:rPr>
          <w:rFonts w:ascii="Times New Roman" w:hAnsi="Times New Roman"/>
          <w:szCs w:val="24"/>
        </w:rPr>
        <w:t xml:space="preserve">the customer </w:t>
      </w:r>
      <w:r w:rsidR="00D03C37" w:rsidRPr="0034519D">
        <w:rPr>
          <w:rFonts w:ascii="Times New Roman" w:hAnsi="Times New Roman"/>
          <w:szCs w:val="24"/>
        </w:rPr>
        <w:t>gets</w:t>
      </w:r>
      <w:r w:rsidR="00F40B6A" w:rsidRPr="0034519D">
        <w:rPr>
          <w:rFonts w:ascii="Times New Roman" w:hAnsi="Times New Roman"/>
          <w:szCs w:val="24"/>
        </w:rPr>
        <w:t xml:space="preserve"> </w:t>
      </w:r>
      <w:r w:rsidR="00AA26F7" w:rsidRPr="0034519D">
        <w:rPr>
          <w:rFonts w:ascii="Times New Roman" w:hAnsi="Times New Roman"/>
          <w:szCs w:val="24"/>
        </w:rPr>
        <w:t xml:space="preserve">a “net metering credit.”  The formula used to calculate net metering credits varies </w:t>
      </w:r>
      <w:r w:rsidR="00CA7A9A" w:rsidRPr="0034519D">
        <w:rPr>
          <w:rFonts w:ascii="Times New Roman" w:hAnsi="Times New Roman"/>
          <w:szCs w:val="24"/>
        </w:rPr>
        <w:t xml:space="preserve">somewhat </w:t>
      </w:r>
      <w:r w:rsidR="00AA26F7" w:rsidRPr="0034519D">
        <w:rPr>
          <w:rFonts w:ascii="Times New Roman" w:hAnsi="Times New Roman"/>
          <w:szCs w:val="24"/>
        </w:rPr>
        <w:t>according to</w:t>
      </w:r>
      <w:r w:rsidR="00CA7A9A" w:rsidRPr="0034519D">
        <w:rPr>
          <w:rFonts w:ascii="Times New Roman" w:hAnsi="Times New Roman"/>
          <w:szCs w:val="24"/>
        </w:rPr>
        <w:t xml:space="preserve"> a number of factors, like the size of the system and the rate class of the customer.</w:t>
      </w:r>
      <w:r w:rsidR="00395B76" w:rsidRPr="0034519D">
        <w:rPr>
          <w:rFonts w:ascii="Times New Roman" w:hAnsi="Times New Roman"/>
          <w:szCs w:val="24"/>
        </w:rPr>
        <w:t xml:space="preserve">  The credits never expire; any excess just continues to roll over.</w:t>
      </w:r>
    </w:p>
    <w:p w:rsidR="00591236" w:rsidRPr="0034519D" w:rsidRDefault="00591236" w:rsidP="00323EF7">
      <w:pPr>
        <w:pStyle w:val="ListParagraph"/>
        <w:numPr>
          <w:ilvl w:val="0"/>
          <w:numId w:val="2"/>
        </w:numPr>
        <w:rPr>
          <w:rFonts w:ascii="Times New Roman" w:hAnsi="Times New Roman"/>
          <w:szCs w:val="24"/>
        </w:rPr>
      </w:pPr>
      <w:r w:rsidRPr="0034519D">
        <w:rPr>
          <w:rFonts w:ascii="Times New Roman" w:hAnsi="Times New Roman"/>
          <w:szCs w:val="24"/>
        </w:rPr>
        <w:t xml:space="preserve">The GCA has a provision </w:t>
      </w:r>
      <w:r w:rsidR="00AA26F7" w:rsidRPr="0034519D">
        <w:rPr>
          <w:rFonts w:ascii="Times New Roman" w:hAnsi="Times New Roman"/>
          <w:szCs w:val="24"/>
        </w:rPr>
        <w:t xml:space="preserve">commonly </w:t>
      </w:r>
      <w:r w:rsidRPr="0034519D">
        <w:rPr>
          <w:rFonts w:ascii="Times New Roman" w:hAnsi="Times New Roman"/>
          <w:szCs w:val="24"/>
        </w:rPr>
        <w:t>referred to as “virtual” net metering.  That means that you can share</w:t>
      </w:r>
      <w:r w:rsidR="00AA26F7" w:rsidRPr="0034519D">
        <w:rPr>
          <w:rFonts w:ascii="Times New Roman" w:hAnsi="Times New Roman"/>
          <w:szCs w:val="24"/>
        </w:rPr>
        <w:t xml:space="preserve"> net metering</w:t>
      </w:r>
      <w:r w:rsidRPr="0034519D">
        <w:rPr>
          <w:rFonts w:ascii="Times New Roman" w:hAnsi="Times New Roman"/>
          <w:szCs w:val="24"/>
        </w:rPr>
        <w:t xml:space="preserve"> credits with other customers.  In other words, if you regularly generate more electricity on site than you use</w:t>
      </w:r>
      <w:r w:rsidR="00F40B6A" w:rsidRPr="0034519D">
        <w:rPr>
          <w:rFonts w:ascii="Times New Roman" w:hAnsi="Times New Roman"/>
          <w:szCs w:val="24"/>
        </w:rPr>
        <w:t xml:space="preserve">, </w:t>
      </w:r>
      <w:r w:rsidRPr="0034519D">
        <w:rPr>
          <w:rFonts w:ascii="Times New Roman" w:hAnsi="Times New Roman"/>
          <w:szCs w:val="24"/>
        </w:rPr>
        <w:t>you can share the resulting benefits, in the form of net metering credits, with other customers.</w:t>
      </w:r>
    </w:p>
    <w:p w:rsidR="00EE724C" w:rsidRPr="0034519D" w:rsidRDefault="00591236" w:rsidP="0083650C">
      <w:pPr>
        <w:pStyle w:val="BlockText"/>
        <w:rPr>
          <w:rFonts w:ascii="Times New Roman" w:hAnsi="Times New Roman"/>
          <w:b/>
        </w:rPr>
      </w:pPr>
      <w:r w:rsidRPr="0034519D">
        <w:rPr>
          <w:rFonts w:ascii="Times New Roman" w:hAnsi="Times New Roman"/>
        </w:rPr>
        <w:t xml:space="preserve">The GCA also creates an animal known as a “neighborhood net metering facility.”  Don’t let this fake you out.  It offers no advantages over virtual net metering.  </w:t>
      </w:r>
    </w:p>
    <w:p w:rsidR="00183D28" w:rsidRPr="0034519D" w:rsidRDefault="00414AC4" w:rsidP="0083650C">
      <w:pPr>
        <w:pStyle w:val="BlockText"/>
      </w:pPr>
      <w:r w:rsidRPr="0034519D">
        <w:t>This</w:t>
      </w:r>
      <w:r w:rsidR="00F40B6A" w:rsidRPr="0034519D">
        <w:t xml:space="preserve"> captures </w:t>
      </w:r>
      <w:r w:rsidR="00183D28" w:rsidRPr="0034519D">
        <w:t xml:space="preserve">the 2008 </w:t>
      </w:r>
      <w:r w:rsidR="00F40B6A" w:rsidRPr="0034519D">
        <w:t>vers</w:t>
      </w:r>
      <w:r w:rsidR="00183D28" w:rsidRPr="0034519D">
        <w:t>ion</w:t>
      </w:r>
      <w:r w:rsidR="00F40B6A" w:rsidRPr="0034519D">
        <w:t xml:space="preserve"> of net metering</w:t>
      </w:r>
      <w:r w:rsidR="00183D28" w:rsidRPr="0034519D">
        <w:t>.</w:t>
      </w:r>
    </w:p>
    <w:p w:rsidR="005862E1" w:rsidRPr="0034519D" w:rsidRDefault="00D46F1E">
      <w:pPr>
        <w:pStyle w:val="BlockText"/>
        <w:keepNext/>
      </w:pPr>
      <w:r w:rsidRPr="0034519D">
        <w:t>T</w:t>
      </w:r>
      <w:r w:rsidR="00183D28" w:rsidRPr="0034519D">
        <w:t>he October, 2010 budget bill</w:t>
      </w:r>
      <w:r w:rsidRPr="0034519D">
        <w:t xml:space="preserve"> added </w:t>
      </w:r>
      <w:r w:rsidR="00183D28" w:rsidRPr="0034519D">
        <w:t xml:space="preserve">the following </w:t>
      </w:r>
      <w:r w:rsidR="00D77140" w:rsidRPr="0034519D">
        <w:t xml:space="preserve">three </w:t>
      </w:r>
      <w:r w:rsidR="00183D28" w:rsidRPr="0034519D">
        <w:t>changes:</w:t>
      </w:r>
    </w:p>
    <w:p w:rsidR="00183D28" w:rsidRPr="0034519D" w:rsidRDefault="00207001" w:rsidP="00670E13">
      <w:pPr>
        <w:pStyle w:val="ListParagraph"/>
        <w:numPr>
          <w:ilvl w:val="0"/>
          <w:numId w:val="3"/>
        </w:numPr>
        <w:rPr>
          <w:rFonts w:ascii="Times New Roman" w:hAnsi="Times New Roman"/>
          <w:szCs w:val="24"/>
        </w:rPr>
      </w:pPr>
      <w:r w:rsidRPr="0034519D">
        <w:rPr>
          <w:rFonts w:ascii="Times New Roman" w:hAnsi="Times New Roman"/>
          <w:szCs w:val="24"/>
        </w:rPr>
        <w:t>First, the</w:t>
      </w:r>
      <w:r w:rsidR="00183D28" w:rsidRPr="0034519D">
        <w:rPr>
          <w:rFonts w:ascii="Times New Roman" w:hAnsi="Times New Roman"/>
          <w:szCs w:val="24"/>
        </w:rPr>
        <w:t xml:space="preserve"> budget bill created two categories of net metering facilities </w:t>
      </w:r>
      <w:r w:rsidR="00183D28" w:rsidRPr="0034519D">
        <w:rPr>
          <w:rFonts w:ascii="Times New Roman" w:hAnsi="Times New Roman"/>
          <w:i/>
          <w:szCs w:val="24"/>
        </w:rPr>
        <w:t>for the purposes of the cap on net metering</w:t>
      </w:r>
      <w:r w:rsidR="00EE724C" w:rsidRPr="0034519D">
        <w:rPr>
          <w:rFonts w:ascii="Times New Roman" w:hAnsi="Times New Roman"/>
          <w:szCs w:val="24"/>
        </w:rPr>
        <w:t xml:space="preserve">.  </w:t>
      </w:r>
      <w:r w:rsidR="005B51D7" w:rsidRPr="0034519D">
        <w:rPr>
          <w:rFonts w:ascii="Times New Roman" w:hAnsi="Times New Roman"/>
          <w:szCs w:val="24"/>
        </w:rPr>
        <w:t>Remember that in</w:t>
      </w:r>
      <w:r w:rsidR="00183D28" w:rsidRPr="0034519D">
        <w:rPr>
          <w:rFonts w:ascii="Times New Roman" w:hAnsi="Times New Roman"/>
          <w:szCs w:val="24"/>
        </w:rPr>
        <w:t xml:space="preserve"> 2008</w:t>
      </w:r>
      <w:r w:rsidR="00F40B6A" w:rsidRPr="0034519D">
        <w:rPr>
          <w:rFonts w:ascii="Times New Roman" w:hAnsi="Times New Roman"/>
          <w:szCs w:val="24"/>
        </w:rPr>
        <w:t>,</w:t>
      </w:r>
      <w:r w:rsidR="00183D28" w:rsidRPr="0034519D">
        <w:rPr>
          <w:rFonts w:ascii="Times New Roman" w:hAnsi="Times New Roman"/>
          <w:szCs w:val="24"/>
        </w:rPr>
        <w:t xml:space="preserve"> the GCA </w:t>
      </w:r>
      <w:r w:rsidR="00F40B6A" w:rsidRPr="0034519D">
        <w:rPr>
          <w:rFonts w:ascii="Times New Roman" w:hAnsi="Times New Roman"/>
          <w:szCs w:val="24"/>
        </w:rPr>
        <w:t xml:space="preserve">distinguished public and private facilities </w:t>
      </w:r>
      <w:r w:rsidR="005B51D7" w:rsidRPr="0034519D">
        <w:rPr>
          <w:rFonts w:ascii="Times New Roman" w:hAnsi="Times New Roman"/>
          <w:szCs w:val="24"/>
        </w:rPr>
        <w:t>through</w:t>
      </w:r>
      <w:r w:rsidR="00F40B6A" w:rsidRPr="0034519D">
        <w:rPr>
          <w:rFonts w:ascii="Times New Roman" w:hAnsi="Times New Roman"/>
          <w:szCs w:val="24"/>
        </w:rPr>
        <w:t xml:space="preserve"> (1) </w:t>
      </w:r>
      <w:r w:rsidR="00183D28" w:rsidRPr="0034519D">
        <w:rPr>
          <w:rFonts w:ascii="Times New Roman" w:hAnsi="Times New Roman"/>
          <w:szCs w:val="24"/>
        </w:rPr>
        <w:t>the “per unit” c</w:t>
      </w:r>
      <w:r w:rsidR="00F40B6A" w:rsidRPr="0034519D">
        <w:rPr>
          <w:rFonts w:ascii="Times New Roman" w:hAnsi="Times New Roman"/>
          <w:szCs w:val="24"/>
        </w:rPr>
        <w:t>lause.</w:t>
      </w:r>
      <w:r w:rsidR="00183D28" w:rsidRPr="0034519D">
        <w:rPr>
          <w:rFonts w:ascii="Times New Roman" w:hAnsi="Times New Roman"/>
          <w:szCs w:val="24"/>
        </w:rPr>
        <w:t xml:space="preserve">  </w:t>
      </w:r>
      <w:r w:rsidR="005B51D7" w:rsidRPr="0034519D">
        <w:rPr>
          <w:rFonts w:ascii="Times New Roman" w:hAnsi="Times New Roman"/>
          <w:szCs w:val="24"/>
        </w:rPr>
        <w:t>That is, public</w:t>
      </w:r>
      <w:r w:rsidR="00183D28" w:rsidRPr="0034519D">
        <w:rPr>
          <w:rFonts w:ascii="Times New Roman" w:hAnsi="Times New Roman"/>
          <w:szCs w:val="24"/>
        </w:rPr>
        <w:t xml:space="preserve"> net metering facilities had no limit on size, as long as </w:t>
      </w:r>
      <w:r w:rsidR="005914EC" w:rsidRPr="0034519D">
        <w:rPr>
          <w:rFonts w:ascii="Times New Roman" w:hAnsi="Times New Roman"/>
          <w:szCs w:val="24"/>
        </w:rPr>
        <w:t>no</w:t>
      </w:r>
      <w:r w:rsidR="00183D28" w:rsidRPr="0034519D">
        <w:rPr>
          <w:rFonts w:ascii="Times New Roman" w:hAnsi="Times New Roman"/>
          <w:szCs w:val="24"/>
        </w:rPr>
        <w:t xml:space="preserve"> </w:t>
      </w:r>
      <w:r w:rsidR="00F40B6A" w:rsidRPr="0034519D">
        <w:rPr>
          <w:rFonts w:ascii="Times New Roman" w:hAnsi="Times New Roman"/>
          <w:szCs w:val="24"/>
        </w:rPr>
        <w:t xml:space="preserve">single </w:t>
      </w:r>
      <w:r w:rsidR="00183D28" w:rsidRPr="0034519D">
        <w:rPr>
          <w:rFonts w:ascii="Times New Roman" w:hAnsi="Times New Roman"/>
          <w:szCs w:val="24"/>
        </w:rPr>
        <w:t xml:space="preserve">unit </w:t>
      </w:r>
      <w:r w:rsidR="005914EC" w:rsidRPr="0034519D">
        <w:rPr>
          <w:rFonts w:ascii="Times New Roman" w:hAnsi="Times New Roman"/>
          <w:szCs w:val="24"/>
        </w:rPr>
        <w:t>exceeded</w:t>
      </w:r>
      <w:r w:rsidR="00183D28" w:rsidRPr="0034519D">
        <w:rPr>
          <w:rFonts w:ascii="Times New Roman" w:hAnsi="Times New Roman"/>
          <w:szCs w:val="24"/>
        </w:rPr>
        <w:t xml:space="preserve"> 1 MW or</w:t>
      </w:r>
      <w:r w:rsidR="00613737" w:rsidRPr="0034519D">
        <w:rPr>
          <w:rFonts w:ascii="Times New Roman" w:hAnsi="Times New Roman"/>
          <w:szCs w:val="24"/>
        </w:rPr>
        <w:t xml:space="preserve"> 2 MW, depending on whether the facility was class I or class II</w:t>
      </w:r>
      <w:r w:rsidR="00183D28" w:rsidRPr="0034519D">
        <w:rPr>
          <w:rFonts w:ascii="Times New Roman" w:hAnsi="Times New Roman"/>
          <w:szCs w:val="24"/>
        </w:rPr>
        <w:t xml:space="preserve">.  </w:t>
      </w:r>
      <w:r w:rsidR="00F40B6A" w:rsidRPr="0034519D">
        <w:rPr>
          <w:rFonts w:ascii="Times New Roman" w:hAnsi="Times New Roman"/>
          <w:szCs w:val="24"/>
        </w:rPr>
        <w:t>I</w:t>
      </w:r>
      <w:r w:rsidR="00183D28" w:rsidRPr="0034519D">
        <w:rPr>
          <w:rFonts w:ascii="Times New Roman" w:hAnsi="Times New Roman"/>
          <w:szCs w:val="24"/>
        </w:rPr>
        <w:t xml:space="preserve">n 2010, the legislature </w:t>
      </w:r>
      <w:r w:rsidR="00F40B6A" w:rsidRPr="0034519D">
        <w:rPr>
          <w:rFonts w:ascii="Times New Roman" w:hAnsi="Times New Roman"/>
          <w:szCs w:val="24"/>
        </w:rPr>
        <w:t>alter</w:t>
      </w:r>
      <w:r w:rsidR="00183D28" w:rsidRPr="0034519D">
        <w:rPr>
          <w:rFonts w:ascii="Times New Roman" w:hAnsi="Times New Roman"/>
          <w:szCs w:val="24"/>
        </w:rPr>
        <w:t xml:space="preserve">ed the one percent cap </w:t>
      </w:r>
      <w:r w:rsidR="00AD3B3C" w:rsidRPr="0034519D">
        <w:rPr>
          <w:rFonts w:ascii="Times New Roman" w:hAnsi="Times New Roman"/>
          <w:szCs w:val="24"/>
        </w:rPr>
        <w:t xml:space="preserve">for </w:t>
      </w:r>
      <w:r w:rsidR="00F40B6A" w:rsidRPr="0034519D">
        <w:rPr>
          <w:rFonts w:ascii="Times New Roman" w:hAnsi="Times New Roman"/>
          <w:szCs w:val="24"/>
        </w:rPr>
        <w:t xml:space="preserve">all facilities </w:t>
      </w:r>
      <w:r w:rsidR="00AF1822" w:rsidRPr="0034519D">
        <w:rPr>
          <w:rFonts w:ascii="Times New Roman" w:hAnsi="Times New Roman"/>
          <w:szCs w:val="24"/>
        </w:rPr>
        <w:t xml:space="preserve">to </w:t>
      </w:r>
      <w:r w:rsidR="00F40B6A" w:rsidRPr="0034519D">
        <w:rPr>
          <w:rFonts w:ascii="Times New Roman" w:hAnsi="Times New Roman"/>
          <w:szCs w:val="24"/>
        </w:rPr>
        <w:t xml:space="preserve">create </w:t>
      </w:r>
      <w:r w:rsidR="000147A9" w:rsidRPr="0034519D">
        <w:rPr>
          <w:rFonts w:ascii="Times New Roman" w:hAnsi="Times New Roman"/>
          <w:szCs w:val="24"/>
        </w:rPr>
        <w:t xml:space="preserve">a one percent cap for private facilities and a two percent cap for public facilities.  In other words, </w:t>
      </w:r>
      <w:r w:rsidR="00F40B6A" w:rsidRPr="0034519D">
        <w:rPr>
          <w:rFonts w:ascii="Times New Roman" w:hAnsi="Times New Roman"/>
          <w:szCs w:val="24"/>
        </w:rPr>
        <w:t xml:space="preserve">the cap was raised </w:t>
      </w:r>
      <w:r w:rsidR="000147A9" w:rsidRPr="0034519D">
        <w:rPr>
          <w:rFonts w:ascii="Times New Roman" w:hAnsi="Times New Roman"/>
          <w:szCs w:val="24"/>
        </w:rPr>
        <w:t>from one percent to three percent in total.</w:t>
      </w:r>
    </w:p>
    <w:p w:rsidR="00207001" w:rsidRPr="0034519D" w:rsidRDefault="00207001" w:rsidP="00670E13">
      <w:pPr>
        <w:pStyle w:val="ListParagraph"/>
        <w:numPr>
          <w:ilvl w:val="0"/>
          <w:numId w:val="3"/>
        </w:numPr>
        <w:rPr>
          <w:rFonts w:ascii="Times New Roman" w:hAnsi="Times New Roman"/>
          <w:szCs w:val="24"/>
        </w:rPr>
      </w:pPr>
      <w:r w:rsidRPr="0034519D">
        <w:rPr>
          <w:rFonts w:ascii="Times New Roman" w:hAnsi="Times New Roman"/>
          <w:szCs w:val="24"/>
        </w:rPr>
        <w:t xml:space="preserve">Second, the budget bill imposed a cap on the total generating capacity of a public </w:t>
      </w:r>
      <w:r w:rsidR="00AD3B3C" w:rsidRPr="0034519D">
        <w:rPr>
          <w:rFonts w:ascii="Times New Roman" w:hAnsi="Times New Roman"/>
          <w:szCs w:val="24"/>
        </w:rPr>
        <w:t>entity</w:t>
      </w:r>
      <w:r w:rsidR="00F40B6A" w:rsidRPr="0034519D">
        <w:rPr>
          <w:rFonts w:ascii="Times New Roman" w:hAnsi="Times New Roman"/>
          <w:szCs w:val="24"/>
        </w:rPr>
        <w:t xml:space="preserve"> </w:t>
      </w:r>
      <w:r w:rsidRPr="0034519D">
        <w:rPr>
          <w:rFonts w:ascii="Times New Roman" w:hAnsi="Times New Roman"/>
          <w:szCs w:val="24"/>
        </w:rPr>
        <w:t xml:space="preserve">of 10 MW.  In other words, no more potential for </w:t>
      </w:r>
      <w:r w:rsidR="002F4F9E" w:rsidRPr="0034519D">
        <w:rPr>
          <w:rFonts w:ascii="Times New Roman" w:hAnsi="Times New Roman"/>
          <w:szCs w:val="24"/>
        </w:rPr>
        <w:t xml:space="preserve">mega-projects that limited each </w:t>
      </w:r>
      <w:r w:rsidR="002F4F9E" w:rsidRPr="0034519D">
        <w:rPr>
          <w:rFonts w:ascii="Times New Roman" w:hAnsi="Times New Roman"/>
          <w:i/>
          <w:szCs w:val="24"/>
        </w:rPr>
        <w:t>unit</w:t>
      </w:r>
      <w:r w:rsidR="002F4F9E" w:rsidRPr="0034519D">
        <w:rPr>
          <w:rFonts w:ascii="Times New Roman" w:hAnsi="Times New Roman"/>
          <w:szCs w:val="24"/>
        </w:rPr>
        <w:t xml:space="preserve"> to </w:t>
      </w:r>
      <w:r w:rsidR="00CF639C" w:rsidRPr="0034519D">
        <w:rPr>
          <w:rFonts w:ascii="Times New Roman" w:hAnsi="Times New Roman"/>
          <w:szCs w:val="24"/>
        </w:rPr>
        <w:t>less than 1 MW or 2 MW.</w:t>
      </w:r>
    </w:p>
    <w:p w:rsidR="00670E13" w:rsidRPr="0034519D" w:rsidRDefault="00670E13" w:rsidP="00670E13">
      <w:pPr>
        <w:pStyle w:val="ListParagraph"/>
        <w:numPr>
          <w:ilvl w:val="0"/>
          <w:numId w:val="3"/>
        </w:numPr>
        <w:rPr>
          <w:rFonts w:ascii="Times New Roman" w:hAnsi="Times New Roman"/>
          <w:szCs w:val="24"/>
        </w:rPr>
      </w:pPr>
      <w:r w:rsidRPr="0034519D">
        <w:rPr>
          <w:rFonts w:ascii="Times New Roman" w:hAnsi="Times New Roman"/>
          <w:szCs w:val="24"/>
        </w:rPr>
        <w:t xml:space="preserve">Third, the bill required the DPU to </w:t>
      </w:r>
      <w:r w:rsidR="006910CE" w:rsidRPr="0034519D">
        <w:rPr>
          <w:rFonts w:ascii="Times New Roman" w:hAnsi="Times New Roman"/>
          <w:szCs w:val="24"/>
        </w:rPr>
        <w:t>create a system of assurance,</w:t>
      </w:r>
      <w:r w:rsidRPr="0034519D">
        <w:rPr>
          <w:rFonts w:ascii="Times New Roman" w:hAnsi="Times New Roman"/>
          <w:szCs w:val="24"/>
        </w:rPr>
        <w:t xml:space="preserve"> commonly referred to as “the queue</w:t>
      </w:r>
      <w:r w:rsidR="00F40B6A" w:rsidRPr="0034519D">
        <w:rPr>
          <w:rFonts w:ascii="Times New Roman" w:hAnsi="Times New Roman"/>
          <w:szCs w:val="24"/>
        </w:rPr>
        <w:t>,</w:t>
      </w:r>
      <w:r w:rsidRPr="0034519D">
        <w:rPr>
          <w:rFonts w:ascii="Times New Roman" w:hAnsi="Times New Roman"/>
          <w:szCs w:val="24"/>
        </w:rPr>
        <w:t>”</w:t>
      </w:r>
      <w:r w:rsidR="00F40B6A" w:rsidRPr="0034519D">
        <w:rPr>
          <w:rFonts w:ascii="Times New Roman" w:hAnsi="Times New Roman"/>
          <w:szCs w:val="24"/>
        </w:rPr>
        <w:t xml:space="preserve"> for public facilities.</w:t>
      </w:r>
      <w:r w:rsidRPr="0034519D">
        <w:rPr>
          <w:rFonts w:ascii="Times New Roman" w:hAnsi="Times New Roman"/>
          <w:szCs w:val="24"/>
        </w:rPr>
        <w:t xml:space="preserve">  Nothing in the statute required the DPU to include private net metering facilities in the queue, but it left us with the discretion to do so.</w:t>
      </w:r>
    </w:p>
    <w:p w:rsidR="00670E13" w:rsidRPr="0034519D" w:rsidRDefault="00670E13" w:rsidP="0083650C">
      <w:pPr>
        <w:pStyle w:val="BlockText"/>
      </w:pPr>
      <w:r w:rsidRPr="0034519D">
        <w:t>The end of the statutory story</w:t>
      </w:r>
      <w:r w:rsidR="00460A6D" w:rsidRPr="0034519D">
        <w:t>, at least so far,</w:t>
      </w:r>
      <w:r w:rsidRPr="0034519D">
        <w:t xml:space="preserve"> comes in July of 2012, with “An Act Relative to Competitively Priced E</w:t>
      </w:r>
      <w:r w:rsidR="00F01B95" w:rsidRPr="0034519D">
        <w:t>lectricity in the Commonwealth</w:t>
      </w:r>
      <w:r w:rsidR="00FB0AC8" w:rsidRPr="0034519D">
        <w:t>,</w:t>
      </w:r>
      <w:r w:rsidR="00460A6D" w:rsidRPr="0034519D">
        <w:t>”</w:t>
      </w:r>
      <w:r w:rsidR="00FB0AC8" w:rsidRPr="0034519D">
        <w:t xml:space="preserve"> which </w:t>
      </w:r>
      <w:r w:rsidR="00F61D59" w:rsidRPr="0034519D">
        <w:rPr>
          <w:i/>
        </w:rPr>
        <w:t>mainly</w:t>
      </w:r>
      <w:r w:rsidR="003716C7" w:rsidRPr="0034519D">
        <w:t xml:space="preserve"> </w:t>
      </w:r>
      <w:r w:rsidR="00FB0AC8" w:rsidRPr="0034519D">
        <w:t>enacted three further changes:</w:t>
      </w:r>
      <w:r w:rsidR="006F34E4" w:rsidRPr="0034519D">
        <w:t xml:space="preserve"> </w:t>
      </w:r>
    </w:p>
    <w:p w:rsidR="00F01B95" w:rsidRPr="0034519D" w:rsidRDefault="00FB0AC8" w:rsidP="002A788A">
      <w:pPr>
        <w:pStyle w:val="ListParagraph"/>
        <w:numPr>
          <w:ilvl w:val="0"/>
          <w:numId w:val="4"/>
        </w:numPr>
        <w:rPr>
          <w:rFonts w:ascii="Times New Roman" w:hAnsi="Times New Roman"/>
          <w:szCs w:val="24"/>
        </w:rPr>
      </w:pPr>
      <w:r w:rsidRPr="0034519D">
        <w:rPr>
          <w:rFonts w:ascii="Times New Roman" w:hAnsi="Times New Roman"/>
          <w:szCs w:val="24"/>
        </w:rPr>
        <w:t>First, the</w:t>
      </w:r>
      <w:r w:rsidR="00F01B95" w:rsidRPr="0034519D">
        <w:rPr>
          <w:rFonts w:ascii="Times New Roman" w:hAnsi="Times New Roman"/>
          <w:szCs w:val="24"/>
        </w:rPr>
        <w:t xml:space="preserve"> 2012 act </w:t>
      </w:r>
      <w:r w:rsidR="00AD3B3C" w:rsidRPr="0034519D">
        <w:rPr>
          <w:rFonts w:ascii="Times New Roman" w:hAnsi="Times New Roman"/>
          <w:szCs w:val="24"/>
        </w:rPr>
        <w:t xml:space="preserve">specifies that </w:t>
      </w:r>
      <w:r w:rsidR="00F01B95" w:rsidRPr="0034519D">
        <w:rPr>
          <w:rFonts w:ascii="Times New Roman" w:hAnsi="Times New Roman"/>
          <w:szCs w:val="24"/>
        </w:rPr>
        <w:t>anaerobic digesters</w:t>
      </w:r>
      <w:r w:rsidR="00124449" w:rsidRPr="0034519D">
        <w:rPr>
          <w:rFonts w:ascii="Times New Roman" w:hAnsi="Times New Roman"/>
          <w:szCs w:val="24"/>
        </w:rPr>
        <w:t>—regardless of whether they’re farm-based—</w:t>
      </w:r>
      <w:r w:rsidR="00AD3B3C" w:rsidRPr="0034519D">
        <w:rPr>
          <w:rFonts w:ascii="Times New Roman" w:hAnsi="Times New Roman"/>
          <w:szCs w:val="24"/>
        </w:rPr>
        <w:t>are now treated the same as</w:t>
      </w:r>
      <w:r w:rsidR="00F01B95" w:rsidRPr="0034519D">
        <w:rPr>
          <w:rFonts w:ascii="Times New Roman" w:hAnsi="Times New Roman"/>
          <w:szCs w:val="24"/>
        </w:rPr>
        <w:t xml:space="preserve"> wind, solar, </w:t>
      </w:r>
      <w:r w:rsidR="00AD3B3C" w:rsidRPr="0034519D">
        <w:rPr>
          <w:rFonts w:ascii="Times New Roman" w:hAnsi="Times New Roman"/>
          <w:szCs w:val="24"/>
        </w:rPr>
        <w:t xml:space="preserve">and </w:t>
      </w:r>
      <w:r w:rsidR="00F01B95" w:rsidRPr="0034519D">
        <w:rPr>
          <w:rFonts w:ascii="Times New Roman" w:hAnsi="Times New Roman"/>
          <w:szCs w:val="24"/>
        </w:rPr>
        <w:t>farm-based renewables</w:t>
      </w:r>
      <w:r w:rsidR="00F01B95" w:rsidRPr="0034519D">
        <w:rPr>
          <w:rFonts w:ascii="Times New Roman" w:hAnsi="Times New Roman"/>
          <w:i/>
          <w:szCs w:val="24"/>
        </w:rPr>
        <w:t>.</w:t>
      </w:r>
    </w:p>
    <w:p w:rsidR="00F01B95" w:rsidRPr="0034519D" w:rsidRDefault="00FB0AC8" w:rsidP="002A788A">
      <w:pPr>
        <w:pStyle w:val="ListParagraph"/>
        <w:numPr>
          <w:ilvl w:val="0"/>
          <w:numId w:val="4"/>
        </w:numPr>
        <w:rPr>
          <w:rFonts w:ascii="Times New Roman" w:hAnsi="Times New Roman"/>
          <w:szCs w:val="24"/>
        </w:rPr>
      </w:pPr>
      <w:r w:rsidRPr="0034519D">
        <w:rPr>
          <w:rFonts w:ascii="Times New Roman" w:hAnsi="Times New Roman"/>
          <w:szCs w:val="24"/>
        </w:rPr>
        <w:t>Second, the</w:t>
      </w:r>
      <w:r w:rsidR="00F01B95" w:rsidRPr="0034519D">
        <w:rPr>
          <w:rFonts w:ascii="Times New Roman" w:hAnsi="Times New Roman"/>
          <w:szCs w:val="24"/>
        </w:rPr>
        <w:t xml:space="preserve"> act increased the public and private caps to three percent each.  So the total cap is now six percent </w:t>
      </w:r>
      <w:r w:rsidR="008410BF" w:rsidRPr="0034519D">
        <w:rPr>
          <w:rFonts w:ascii="Times New Roman" w:hAnsi="Times New Roman"/>
          <w:szCs w:val="24"/>
        </w:rPr>
        <w:t>of the capacity of each distribution company’s load.</w:t>
      </w:r>
    </w:p>
    <w:p w:rsidR="00FB0AC8" w:rsidRPr="0034519D" w:rsidRDefault="00FB0AC8" w:rsidP="002A788A">
      <w:pPr>
        <w:pStyle w:val="ListParagraph"/>
        <w:numPr>
          <w:ilvl w:val="0"/>
          <w:numId w:val="4"/>
        </w:numPr>
        <w:rPr>
          <w:rFonts w:ascii="Times New Roman" w:hAnsi="Times New Roman"/>
          <w:szCs w:val="24"/>
        </w:rPr>
      </w:pPr>
      <w:r w:rsidRPr="0034519D">
        <w:rPr>
          <w:rFonts w:ascii="Times New Roman" w:hAnsi="Times New Roman"/>
          <w:szCs w:val="24"/>
        </w:rPr>
        <w:t xml:space="preserve">Third, </w:t>
      </w:r>
      <w:r w:rsidR="00AD3B3C" w:rsidRPr="0034519D">
        <w:rPr>
          <w:rFonts w:ascii="Times New Roman" w:hAnsi="Times New Roman"/>
          <w:szCs w:val="24"/>
        </w:rPr>
        <w:t xml:space="preserve">small </w:t>
      </w:r>
      <w:r w:rsidR="00D51296" w:rsidRPr="0034519D">
        <w:rPr>
          <w:rFonts w:ascii="Times New Roman" w:hAnsi="Times New Roman"/>
          <w:szCs w:val="24"/>
        </w:rPr>
        <w:t xml:space="preserve">renewable </w:t>
      </w:r>
      <w:r w:rsidR="00AD3B3C" w:rsidRPr="0034519D">
        <w:rPr>
          <w:rFonts w:ascii="Times New Roman" w:hAnsi="Times New Roman"/>
          <w:szCs w:val="24"/>
        </w:rPr>
        <w:t xml:space="preserve">projects </w:t>
      </w:r>
      <w:r w:rsidR="00B57478" w:rsidRPr="0034519D">
        <w:rPr>
          <w:rFonts w:ascii="Times New Roman" w:hAnsi="Times New Roman"/>
          <w:szCs w:val="24"/>
        </w:rPr>
        <w:t xml:space="preserve">are </w:t>
      </w:r>
      <w:r w:rsidR="008C328E" w:rsidRPr="0034519D">
        <w:rPr>
          <w:rFonts w:ascii="Times New Roman" w:hAnsi="Times New Roman"/>
          <w:szCs w:val="24"/>
        </w:rPr>
        <w:t xml:space="preserve">now </w:t>
      </w:r>
      <w:r w:rsidR="002A788A" w:rsidRPr="0034519D">
        <w:rPr>
          <w:rFonts w:ascii="Times New Roman" w:hAnsi="Times New Roman"/>
          <w:szCs w:val="24"/>
        </w:rPr>
        <w:t>exempt from the private cap</w:t>
      </w:r>
      <w:r w:rsidR="008C328E" w:rsidRPr="0034519D">
        <w:rPr>
          <w:rFonts w:ascii="Times New Roman" w:hAnsi="Times New Roman"/>
          <w:szCs w:val="24"/>
        </w:rPr>
        <w:t xml:space="preserve"> but</w:t>
      </w:r>
      <w:r w:rsidR="002A788A" w:rsidRPr="0034519D">
        <w:rPr>
          <w:rFonts w:ascii="Times New Roman" w:hAnsi="Times New Roman"/>
          <w:szCs w:val="24"/>
        </w:rPr>
        <w:t xml:space="preserve"> may </w:t>
      </w:r>
      <w:r w:rsidR="008C328E" w:rsidRPr="0034519D">
        <w:rPr>
          <w:rFonts w:ascii="Times New Roman" w:hAnsi="Times New Roman"/>
          <w:szCs w:val="24"/>
        </w:rPr>
        <w:t xml:space="preserve">still </w:t>
      </w:r>
      <w:r w:rsidR="002A788A" w:rsidRPr="0034519D">
        <w:rPr>
          <w:rFonts w:ascii="Times New Roman" w:hAnsi="Times New Roman"/>
          <w:szCs w:val="24"/>
        </w:rPr>
        <w:t xml:space="preserve">net meter if </w:t>
      </w:r>
      <w:r w:rsidR="00D51296" w:rsidRPr="0034519D">
        <w:rPr>
          <w:rFonts w:ascii="Times New Roman" w:hAnsi="Times New Roman"/>
          <w:szCs w:val="24"/>
        </w:rPr>
        <w:t xml:space="preserve">they </w:t>
      </w:r>
      <w:r w:rsidR="00460A6D" w:rsidRPr="0034519D">
        <w:rPr>
          <w:rFonts w:ascii="Times New Roman" w:hAnsi="Times New Roman"/>
          <w:szCs w:val="24"/>
        </w:rPr>
        <w:t xml:space="preserve">meet certain other criteria. </w:t>
      </w:r>
      <w:r w:rsidR="002A788A" w:rsidRPr="0034519D">
        <w:rPr>
          <w:rFonts w:ascii="Times New Roman" w:hAnsi="Times New Roman"/>
          <w:szCs w:val="24"/>
        </w:rPr>
        <w:t xml:space="preserve"> </w:t>
      </w:r>
      <w:r w:rsidR="00414AC4" w:rsidRPr="0034519D">
        <w:rPr>
          <w:rFonts w:ascii="Times New Roman" w:hAnsi="Times New Roman"/>
          <w:szCs w:val="24"/>
        </w:rPr>
        <w:t>Therefore, the</w:t>
      </w:r>
      <w:r w:rsidR="002A788A" w:rsidRPr="0034519D">
        <w:rPr>
          <w:rFonts w:ascii="Times New Roman" w:hAnsi="Times New Roman"/>
          <w:szCs w:val="24"/>
        </w:rPr>
        <w:t xml:space="preserve">re’s no risk </w:t>
      </w:r>
      <w:r w:rsidR="00460A6D" w:rsidRPr="0034519D">
        <w:rPr>
          <w:rFonts w:ascii="Times New Roman" w:hAnsi="Times New Roman"/>
          <w:szCs w:val="24"/>
        </w:rPr>
        <w:t>that a</w:t>
      </w:r>
      <w:r w:rsidR="002A788A" w:rsidRPr="0034519D">
        <w:rPr>
          <w:rFonts w:ascii="Times New Roman" w:hAnsi="Times New Roman"/>
          <w:szCs w:val="24"/>
        </w:rPr>
        <w:t xml:space="preserve"> small PV system or a small wind turbine will be ineligible to net meter because the cap is full.</w:t>
      </w:r>
      <w:r w:rsidR="00460A6D" w:rsidRPr="0034519D">
        <w:rPr>
          <w:rFonts w:ascii="Times New Roman" w:hAnsi="Times New Roman"/>
          <w:szCs w:val="24"/>
        </w:rPr>
        <w:t xml:space="preserve">  That’s a very significant change.</w:t>
      </w:r>
    </w:p>
    <w:p w:rsidR="009E4D10" w:rsidRPr="0034519D" w:rsidRDefault="009E4D10" w:rsidP="009E4D10">
      <w:pPr>
        <w:rPr>
          <w:rFonts w:ascii="Times New Roman" w:hAnsi="Times New Roman"/>
        </w:rPr>
      </w:pPr>
      <w:r w:rsidRPr="0034519D">
        <w:rPr>
          <w:rFonts w:ascii="Times New Roman" w:hAnsi="Times New Roman"/>
        </w:rPr>
        <w:t xml:space="preserve">That legislation goes into effect on November 1, and I’m very happy to report that we intend on November 1 to issue an order adopting emergency regulations implementing </w:t>
      </w:r>
      <w:r w:rsidR="005527A6" w:rsidRPr="0034519D">
        <w:rPr>
          <w:rFonts w:ascii="Times New Roman" w:hAnsi="Times New Roman"/>
        </w:rPr>
        <w:t>its</w:t>
      </w:r>
      <w:r w:rsidRPr="0034519D">
        <w:rPr>
          <w:rFonts w:ascii="Times New Roman" w:hAnsi="Times New Roman"/>
        </w:rPr>
        <w:t xml:space="preserve"> provisions.</w:t>
      </w:r>
    </w:p>
    <w:p w:rsidR="009E4D10" w:rsidRPr="0034519D" w:rsidRDefault="009E4D10" w:rsidP="009E4D10">
      <w:pPr>
        <w:rPr>
          <w:rFonts w:ascii="Times New Roman" w:hAnsi="Times New Roman"/>
        </w:rPr>
      </w:pPr>
    </w:p>
    <w:p w:rsidR="00587CAC" w:rsidRPr="0034519D" w:rsidRDefault="00587CAC" w:rsidP="0083650C">
      <w:pPr>
        <w:pStyle w:val="BlockText"/>
      </w:pPr>
      <w:r w:rsidRPr="0034519D">
        <w:t>I’ll move on briefly to a few issues that the</w:t>
      </w:r>
      <w:r w:rsidR="00796CAF" w:rsidRPr="0034519D">
        <w:t xml:space="preserve"> statute left the</w:t>
      </w:r>
      <w:r w:rsidRPr="0034519D">
        <w:t xml:space="preserve"> DPU to resolve:</w:t>
      </w:r>
    </w:p>
    <w:p w:rsidR="00587CAC" w:rsidRPr="0034519D" w:rsidRDefault="00587CAC" w:rsidP="0083650C">
      <w:pPr>
        <w:pStyle w:val="BlockText"/>
      </w:pPr>
      <w:r w:rsidRPr="0034519D">
        <w:rPr>
          <w:b/>
        </w:rPr>
        <w:t>Definition of private vs. public facility,</w:t>
      </w:r>
      <w:r w:rsidRPr="0034519D">
        <w:t xml:space="preserve"> that is, </w:t>
      </w:r>
      <w:r w:rsidR="00460A6D" w:rsidRPr="0034519D">
        <w:t xml:space="preserve">private </w:t>
      </w:r>
      <w:r w:rsidR="00124449" w:rsidRPr="0034519D">
        <w:t xml:space="preserve">facility </w:t>
      </w:r>
      <w:r w:rsidR="00460A6D" w:rsidRPr="0034519D">
        <w:t xml:space="preserve">vs. </w:t>
      </w:r>
      <w:r w:rsidR="00B41E93" w:rsidRPr="0034519D">
        <w:t xml:space="preserve">facility of a </w:t>
      </w:r>
      <w:r w:rsidRPr="0034519D">
        <w:t xml:space="preserve">municipality or other governmental entity.  </w:t>
      </w:r>
      <w:r w:rsidR="00CE088C" w:rsidRPr="0034519D">
        <w:t xml:space="preserve">We have to sort facilities as public or private because each has its own cap.  </w:t>
      </w:r>
      <w:r w:rsidRPr="0034519D">
        <w:t>We decided</w:t>
      </w:r>
      <w:r w:rsidR="00CA5C42" w:rsidRPr="0034519D">
        <w:t xml:space="preserve"> in our order of February 17, 2012</w:t>
      </w:r>
      <w:r w:rsidR="00124449" w:rsidRPr="0034519D">
        <w:t xml:space="preserve"> as follows</w:t>
      </w:r>
      <w:r w:rsidRPr="0034519D">
        <w:t>:</w:t>
      </w:r>
    </w:p>
    <w:p w:rsidR="00587CAC" w:rsidRPr="0034519D" w:rsidRDefault="00587CAC" w:rsidP="00D3124D">
      <w:pPr>
        <w:pStyle w:val="ListParagraph"/>
        <w:numPr>
          <w:ilvl w:val="0"/>
          <w:numId w:val="6"/>
        </w:numPr>
        <w:rPr>
          <w:rFonts w:ascii="Times New Roman" w:hAnsi="Times New Roman"/>
          <w:szCs w:val="24"/>
        </w:rPr>
      </w:pPr>
      <w:r w:rsidRPr="0034519D">
        <w:rPr>
          <w:rFonts w:ascii="Times New Roman" w:hAnsi="Times New Roman"/>
          <w:szCs w:val="24"/>
        </w:rPr>
        <w:t>Municipality means municipality.  Even the DPU couldn’t make that complicated.  We decided that the 10 MW cap applies to the municipality, not to separate subdivisions.  In other words, Worcester in total gets 10 MW, rather than each of the school department and the public works department getting 10 MW.</w:t>
      </w:r>
    </w:p>
    <w:p w:rsidR="00587CAC" w:rsidRPr="0034519D" w:rsidRDefault="00587CAC" w:rsidP="00D3124D">
      <w:pPr>
        <w:pStyle w:val="ListParagraph"/>
        <w:numPr>
          <w:ilvl w:val="0"/>
          <w:numId w:val="6"/>
        </w:numPr>
        <w:rPr>
          <w:rFonts w:ascii="Times New Roman" w:hAnsi="Times New Roman"/>
          <w:szCs w:val="24"/>
        </w:rPr>
      </w:pPr>
      <w:r w:rsidRPr="0034519D">
        <w:rPr>
          <w:rFonts w:ascii="Times New Roman" w:hAnsi="Times New Roman"/>
          <w:szCs w:val="24"/>
        </w:rPr>
        <w:t xml:space="preserve">Other governmental entity includes the state and federal government.  </w:t>
      </w:r>
      <w:r w:rsidR="004427E2" w:rsidRPr="0034519D">
        <w:rPr>
          <w:rFonts w:ascii="Times New Roman" w:hAnsi="Times New Roman"/>
          <w:szCs w:val="24"/>
        </w:rPr>
        <w:t xml:space="preserve">Seems obvious.  </w:t>
      </w:r>
      <w:r w:rsidRPr="0034519D">
        <w:rPr>
          <w:rFonts w:ascii="Times New Roman" w:hAnsi="Times New Roman"/>
          <w:szCs w:val="24"/>
        </w:rPr>
        <w:t>However, here we decided that each department and agency of the Commonwealth and of the United States gets its own 10 MW cap.  For example, the Department of Corrections gets its own 10 MW cap, such that all of the state prisons in the aggregate will be eligible for a combined 10 MW of net metering capacity.</w:t>
      </w:r>
    </w:p>
    <w:p w:rsidR="00CA5C42" w:rsidRPr="0034519D" w:rsidRDefault="00CA5C42" w:rsidP="00D3124D">
      <w:pPr>
        <w:pStyle w:val="ListParagraph"/>
        <w:numPr>
          <w:ilvl w:val="0"/>
          <w:numId w:val="6"/>
        </w:numPr>
        <w:rPr>
          <w:rFonts w:ascii="Times New Roman" w:hAnsi="Times New Roman"/>
          <w:b/>
          <w:szCs w:val="24"/>
        </w:rPr>
      </w:pPr>
      <w:r w:rsidRPr="0034519D">
        <w:rPr>
          <w:rFonts w:ascii="Times New Roman" w:hAnsi="Times New Roman"/>
          <w:szCs w:val="24"/>
        </w:rPr>
        <w:t>We declined to go further in identifying every single entity that could qualify as “an other governmental entity.”  Instead, we articulated several criteria that would guide our fu</w:t>
      </w:r>
      <w:r w:rsidR="00A310DD" w:rsidRPr="0034519D">
        <w:rPr>
          <w:rFonts w:ascii="Times New Roman" w:hAnsi="Times New Roman"/>
          <w:szCs w:val="24"/>
        </w:rPr>
        <w:t>r</w:t>
      </w:r>
      <w:r w:rsidRPr="0034519D">
        <w:rPr>
          <w:rFonts w:ascii="Times New Roman" w:hAnsi="Times New Roman"/>
          <w:szCs w:val="24"/>
        </w:rPr>
        <w:t xml:space="preserve">ther determinations on a case-by-case basis in response to an applicant’s request to the DPU.  So far, we’ve classified </w:t>
      </w:r>
      <w:r w:rsidR="00B806EA" w:rsidRPr="0034519D">
        <w:rPr>
          <w:rFonts w:ascii="Times New Roman" w:hAnsi="Times New Roman"/>
          <w:szCs w:val="24"/>
        </w:rPr>
        <w:t>28</w:t>
      </w:r>
      <w:r w:rsidRPr="0034519D">
        <w:rPr>
          <w:rFonts w:ascii="Times New Roman" w:hAnsi="Times New Roman"/>
          <w:szCs w:val="24"/>
        </w:rPr>
        <w:t xml:space="preserve"> entities as public, with straightforward applications being processed in one week or less.  </w:t>
      </w:r>
      <w:r w:rsidRPr="0034519D">
        <w:rPr>
          <w:rFonts w:ascii="Times New Roman" w:hAnsi="Times New Roman"/>
          <w:b/>
          <w:szCs w:val="24"/>
        </w:rPr>
        <w:t xml:space="preserve">[slide </w:t>
      </w:r>
      <w:r w:rsidR="00B806EA" w:rsidRPr="0034519D">
        <w:rPr>
          <w:rFonts w:ascii="Times New Roman" w:hAnsi="Times New Roman"/>
          <w:b/>
          <w:szCs w:val="24"/>
        </w:rPr>
        <w:t>4</w:t>
      </w:r>
      <w:r w:rsidRPr="0034519D">
        <w:rPr>
          <w:rFonts w:ascii="Times New Roman" w:hAnsi="Times New Roman"/>
          <w:b/>
          <w:szCs w:val="24"/>
        </w:rPr>
        <w:t>]</w:t>
      </w:r>
    </w:p>
    <w:p w:rsidR="004652BE" w:rsidRPr="0034519D" w:rsidRDefault="004652BE" w:rsidP="004652BE">
      <w:pPr>
        <w:rPr>
          <w:rFonts w:ascii="Times New Roman" w:hAnsi="Times New Roman"/>
          <w:b/>
        </w:rPr>
      </w:pPr>
      <w:r w:rsidRPr="0034519D">
        <w:rPr>
          <w:rFonts w:ascii="Times New Roman" w:hAnsi="Times New Roman"/>
          <w:b/>
        </w:rPr>
        <w:t xml:space="preserve">[slide </w:t>
      </w:r>
      <w:r w:rsidR="00B806EA" w:rsidRPr="0034519D">
        <w:rPr>
          <w:rFonts w:ascii="Times New Roman" w:hAnsi="Times New Roman"/>
          <w:b/>
        </w:rPr>
        <w:t>3</w:t>
      </w:r>
      <w:r w:rsidRPr="0034519D">
        <w:rPr>
          <w:rFonts w:ascii="Times New Roman" w:hAnsi="Times New Roman"/>
          <w:b/>
        </w:rPr>
        <w:t>:  here’s where we are now relative to the cap for each distribution company]</w:t>
      </w:r>
    </w:p>
    <w:p w:rsidR="00DE73F3" w:rsidRPr="0034519D" w:rsidRDefault="00DE73F3" w:rsidP="004652BE">
      <w:pPr>
        <w:rPr>
          <w:rFonts w:ascii="Times New Roman" w:hAnsi="Times New Roman"/>
          <w:b/>
        </w:rPr>
      </w:pPr>
    </w:p>
    <w:p w:rsidR="00DE73F3" w:rsidRPr="0034519D" w:rsidRDefault="00DE73F3" w:rsidP="0083650C">
      <w:pPr>
        <w:pStyle w:val="BlockText"/>
      </w:pPr>
      <w:r w:rsidRPr="0034519D">
        <w:rPr>
          <w:b/>
        </w:rPr>
        <w:t>System of assurance, or queue.</w:t>
      </w:r>
      <w:r w:rsidRPr="0034519D">
        <w:t xml:space="preserve">  As you’ll recall, the 2010 budget bill requires the DPU to establish a queue</w:t>
      </w:r>
      <w:r w:rsidR="00BC4BA3" w:rsidRPr="0034519D">
        <w:t xml:space="preserve"> for public facilities.  We’re actually doing that for both public and private facilities.  The idea is that when a facility is in the early stages of development, it needs to know, if possible, if there will be space for it under the cap when </w:t>
      </w:r>
      <w:r w:rsidR="00460A6D" w:rsidRPr="0034519D">
        <w:t>it’s ready</w:t>
      </w:r>
      <w:r w:rsidR="00BC4BA3" w:rsidRPr="0034519D">
        <w:t xml:space="preserve"> to interconnect.</w:t>
      </w:r>
    </w:p>
    <w:p w:rsidR="00B806EA" w:rsidRPr="0034519D" w:rsidRDefault="004427E2" w:rsidP="0083650C">
      <w:pPr>
        <w:pStyle w:val="BlockText"/>
      </w:pPr>
      <w:r w:rsidRPr="0034519D">
        <w:t>I’ll keep this short</w:t>
      </w:r>
      <w:r w:rsidR="00F11172" w:rsidRPr="0034519D">
        <w:t>, but I’ll just say that the queue is mandatory</w:t>
      </w:r>
      <w:r w:rsidRPr="0034519D">
        <w:t>—as requested by all commenters—</w:t>
      </w:r>
      <w:r w:rsidR="00F11172" w:rsidRPr="0034519D">
        <w:t>for all prospective net metering customers</w:t>
      </w:r>
      <w:r w:rsidR="00B843BD" w:rsidRPr="0034519D">
        <w:t xml:space="preserve"> </w:t>
      </w:r>
      <w:r w:rsidR="00B843BD" w:rsidRPr="0034519D">
        <w:rPr>
          <w:i/>
        </w:rPr>
        <w:t>who are subject to the cap</w:t>
      </w:r>
      <w:r w:rsidR="00B843BD" w:rsidRPr="0034519D">
        <w:t xml:space="preserve">.  But remember that the </w:t>
      </w:r>
      <w:r w:rsidR="00037685" w:rsidRPr="0034519D">
        <w:t>really small facilities</w:t>
      </w:r>
      <w:r w:rsidR="00B843BD" w:rsidRPr="0034519D">
        <w:t xml:space="preserve"> are no</w:t>
      </w:r>
      <w:r w:rsidR="008C328E" w:rsidRPr="0034519D">
        <w:t xml:space="preserve"> longer</w:t>
      </w:r>
      <w:r w:rsidR="00B843BD" w:rsidRPr="0034519D">
        <w:t xml:space="preserve"> subject to the cap.</w:t>
      </w:r>
      <w:r w:rsidR="004A349E" w:rsidRPr="0034519D">
        <w:t xml:space="preserve">  </w:t>
      </w:r>
    </w:p>
    <w:p w:rsidR="00F11172" w:rsidRPr="0034519D" w:rsidRDefault="004A349E" w:rsidP="0083650C">
      <w:pPr>
        <w:pStyle w:val="BlockText"/>
      </w:pPr>
      <w:r w:rsidRPr="0034519D">
        <w:t>Pursuant to a bidding process, the Cadmus Group will administer the queue</w:t>
      </w:r>
      <w:r w:rsidR="00FC6C15" w:rsidRPr="0034519D">
        <w:t xml:space="preserve">.  </w:t>
      </w:r>
      <w:r w:rsidR="00145370" w:rsidRPr="0034519D">
        <w:t>Yesterday, the DPU directed t</w:t>
      </w:r>
      <w:r w:rsidR="00FC6C15" w:rsidRPr="0034519D">
        <w:t xml:space="preserve">he distribution companies to enter into a contract with Cadmus </w:t>
      </w:r>
      <w:r w:rsidR="00880F83" w:rsidRPr="0034519D">
        <w:t>within three weeks</w:t>
      </w:r>
      <w:r w:rsidR="00FC6C15" w:rsidRPr="0034519D">
        <w:t xml:space="preserve">, and 40 days after that the queue should be operational.  </w:t>
      </w:r>
      <w:r w:rsidR="008949E6" w:rsidRPr="0034519D">
        <w:t>This should greatly increase certainty for prospective net metering customers.</w:t>
      </w:r>
      <w:r w:rsidR="00B806EA" w:rsidRPr="0034519D">
        <w:t xml:space="preserve">  Also, the queue is not actually a queue, in that once you’re in, you’re in—you’re guaranteed to be able to net meter if you comply with the requirements of the system of assurance.  A queue suggests some priority order.</w:t>
      </w:r>
    </w:p>
    <w:p w:rsidR="000813FD" w:rsidRPr="0034519D" w:rsidRDefault="000813FD" w:rsidP="000813FD">
      <w:pPr>
        <w:rPr>
          <w:rFonts w:ascii="Times New Roman" w:hAnsi="Times New Roman"/>
        </w:rPr>
      </w:pPr>
      <w:r w:rsidRPr="0034519D">
        <w:rPr>
          <w:rFonts w:ascii="Times New Roman" w:hAnsi="Times New Roman"/>
          <w:b/>
        </w:rPr>
        <w:t>Unit vs facility</w:t>
      </w:r>
      <w:r w:rsidR="00553C6B" w:rsidRPr="0034519D">
        <w:rPr>
          <w:rFonts w:ascii="Times New Roman" w:hAnsi="Times New Roman"/>
          <w:b/>
        </w:rPr>
        <w:t>:</w:t>
      </w:r>
      <w:r w:rsidR="00553C6B" w:rsidRPr="0034519D">
        <w:rPr>
          <w:rFonts w:ascii="Times New Roman" w:hAnsi="Times New Roman"/>
        </w:rPr>
        <w:t xml:space="preserve"> </w:t>
      </w:r>
      <w:r w:rsidRPr="0034519D">
        <w:rPr>
          <w:rFonts w:ascii="Times New Roman" w:hAnsi="Times New Roman"/>
        </w:rPr>
        <w:t xml:space="preserve">The statutory scheme provides that private </w:t>
      </w:r>
      <w:r w:rsidR="004A43A8">
        <w:rPr>
          <w:rFonts w:ascii="Times New Roman" w:hAnsi="Times New Roman"/>
        </w:rPr>
        <w:t>entities</w:t>
      </w:r>
      <w:r w:rsidRPr="0034519D">
        <w:rPr>
          <w:rFonts w:ascii="Times New Roman" w:hAnsi="Times New Roman"/>
        </w:rPr>
        <w:t xml:space="preserve"> can net meter “facilities,” and that public entities can install a facility with multiple “units.”  It fell to the DPU to define these terms.  By order, we determined that:</w:t>
      </w:r>
    </w:p>
    <w:p w:rsidR="000813FD" w:rsidRPr="0034519D" w:rsidRDefault="000813FD" w:rsidP="000813FD">
      <w:pPr>
        <w:rPr>
          <w:rFonts w:ascii="Times New Roman" w:hAnsi="Times New Roman"/>
        </w:rPr>
      </w:pPr>
    </w:p>
    <w:p w:rsidR="000813FD" w:rsidRPr="0034519D" w:rsidRDefault="000813FD" w:rsidP="000813FD">
      <w:pPr>
        <w:pStyle w:val="ListParagraph"/>
        <w:keepNext w:val="0"/>
        <w:keepLines w:val="0"/>
        <w:numPr>
          <w:ilvl w:val="0"/>
          <w:numId w:val="17"/>
        </w:numPr>
        <w:spacing w:after="0"/>
        <w:contextualSpacing/>
        <w:outlineLvl w:val="9"/>
        <w:rPr>
          <w:rFonts w:ascii="Times New Roman" w:hAnsi="Times New Roman"/>
          <w:szCs w:val="24"/>
        </w:rPr>
      </w:pPr>
      <w:r w:rsidRPr="0034519D">
        <w:rPr>
          <w:rFonts w:ascii="Times New Roman" w:hAnsi="Times New Roman"/>
          <w:szCs w:val="24"/>
        </w:rPr>
        <w:t>Facilities are determined by a three-factor approach—capacity on a single parcel of land, behind a single interconnection point, and behind a single meter.  All three.  Using this test, private net metering facilities can be as large as 2 MW.</w:t>
      </w:r>
    </w:p>
    <w:p w:rsidR="000813FD" w:rsidRPr="0034519D" w:rsidRDefault="000813FD" w:rsidP="000813FD">
      <w:pPr>
        <w:pStyle w:val="ListParagraph"/>
        <w:keepNext w:val="0"/>
        <w:keepLines w:val="0"/>
        <w:numPr>
          <w:ilvl w:val="0"/>
          <w:numId w:val="17"/>
        </w:numPr>
        <w:spacing w:after="0"/>
        <w:contextualSpacing/>
        <w:outlineLvl w:val="9"/>
        <w:rPr>
          <w:rFonts w:ascii="Times New Roman" w:hAnsi="Times New Roman"/>
          <w:szCs w:val="24"/>
        </w:rPr>
      </w:pPr>
      <w:r w:rsidRPr="0034519D">
        <w:rPr>
          <w:rFonts w:ascii="Times New Roman" w:hAnsi="Times New Roman"/>
          <w:szCs w:val="24"/>
        </w:rPr>
        <w:t>Public facilities must meet the same three-factor test, but can build up to 10 MW.</w:t>
      </w:r>
    </w:p>
    <w:p w:rsidR="000813FD" w:rsidRPr="0034519D" w:rsidRDefault="000813FD" w:rsidP="000813FD">
      <w:pPr>
        <w:pStyle w:val="ListParagraph"/>
        <w:keepNext w:val="0"/>
        <w:keepLines w:val="0"/>
        <w:numPr>
          <w:ilvl w:val="0"/>
          <w:numId w:val="17"/>
        </w:numPr>
        <w:spacing w:after="0"/>
        <w:contextualSpacing/>
        <w:outlineLvl w:val="9"/>
        <w:rPr>
          <w:rFonts w:ascii="Times New Roman" w:hAnsi="Times New Roman"/>
          <w:szCs w:val="24"/>
        </w:rPr>
      </w:pPr>
      <w:r w:rsidRPr="0034519D">
        <w:rPr>
          <w:rFonts w:ascii="Times New Roman" w:hAnsi="Times New Roman"/>
          <w:szCs w:val="24"/>
        </w:rPr>
        <w:t>Each unit of a public fa</w:t>
      </w:r>
      <w:r w:rsidR="00926FB8" w:rsidRPr="0034519D">
        <w:rPr>
          <w:rFonts w:ascii="Times New Roman" w:hAnsi="Times New Roman"/>
          <w:szCs w:val="24"/>
        </w:rPr>
        <w:t xml:space="preserve">cility must be 2 MW or less.  We defined a unit to be </w:t>
      </w:r>
      <w:r w:rsidRPr="0034519D">
        <w:rPr>
          <w:rFonts w:ascii="Times New Roman" w:hAnsi="Times New Roman"/>
          <w:szCs w:val="24"/>
        </w:rPr>
        <w:t xml:space="preserve">a wind turbine, a solar inverter (there’s a little more complexity to this, but I won’t go into it here) and, for agricultural installations and anaerobic </w:t>
      </w:r>
      <w:r w:rsidR="004A43A8">
        <w:rPr>
          <w:rFonts w:ascii="Times New Roman" w:hAnsi="Times New Roman"/>
          <w:szCs w:val="24"/>
        </w:rPr>
        <w:t>digesters</w:t>
      </w:r>
      <w:r w:rsidRPr="0034519D">
        <w:rPr>
          <w:rFonts w:ascii="Times New Roman" w:hAnsi="Times New Roman"/>
          <w:szCs w:val="24"/>
        </w:rPr>
        <w:t>, an engine or combustion turbine.</w:t>
      </w:r>
    </w:p>
    <w:p w:rsidR="00553C6B" w:rsidRPr="0034519D" w:rsidRDefault="00553C6B" w:rsidP="00553C6B">
      <w:pPr>
        <w:contextualSpacing/>
        <w:rPr>
          <w:rFonts w:ascii="Times New Roman" w:hAnsi="Times New Roman"/>
        </w:rPr>
      </w:pPr>
    </w:p>
    <w:p w:rsidR="005862E1" w:rsidRPr="0034519D" w:rsidRDefault="00AA095E">
      <w:pPr>
        <w:pStyle w:val="BlockText"/>
      </w:pPr>
      <w:r w:rsidRPr="0034519D">
        <w:t xml:space="preserve">That’s </w:t>
      </w:r>
      <w:r w:rsidR="007210AC" w:rsidRPr="0034519D">
        <w:t>it: the Cliff notes on</w:t>
      </w:r>
      <w:r w:rsidRPr="0034519D">
        <w:t xml:space="preserve"> net metering to date.</w:t>
      </w:r>
      <w:r w:rsidR="007944AF" w:rsidRPr="0034519D">
        <w:t xml:space="preserve">  </w:t>
      </w:r>
    </w:p>
    <w:p w:rsidR="000425C7" w:rsidRPr="0034519D" w:rsidRDefault="000425C7" w:rsidP="004652BE">
      <w:pPr>
        <w:rPr>
          <w:rFonts w:ascii="Times New Roman" w:hAnsi="Times New Roman"/>
          <w:b/>
        </w:rPr>
      </w:pPr>
    </w:p>
    <w:p w:rsidR="00CE5A14" w:rsidRPr="0034519D" w:rsidRDefault="00CE5A14">
      <w:pPr>
        <w:rPr>
          <w:rFonts w:ascii="Times New Roman" w:hAnsi="Times New Roman"/>
          <w:b/>
        </w:rPr>
      </w:pPr>
    </w:p>
    <w:sectPr w:rsidR="00CE5A14" w:rsidRPr="0034519D" w:rsidSect="00B1649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3FD" w:rsidRDefault="000813FD" w:rsidP="00E84241">
      <w:r>
        <w:separator/>
      </w:r>
    </w:p>
  </w:endnote>
  <w:endnote w:type="continuationSeparator" w:id="0">
    <w:p w:rsidR="000813FD" w:rsidRDefault="000813FD" w:rsidP="00E842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706"/>
      <w:docPartObj>
        <w:docPartGallery w:val="Page Numbers (Bottom of Page)"/>
        <w:docPartUnique/>
      </w:docPartObj>
    </w:sdtPr>
    <w:sdtContent>
      <w:p w:rsidR="000813FD" w:rsidRDefault="00536260">
        <w:pPr>
          <w:pStyle w:val="Footer"/>
          <w:jc w:val="center"/>
        </w:pPr>
        <w:fldSimple w:instr=" PAGE   \* MERGEFORMAT ">
          <w:r w:rsidR="004A43A8">
            <w:rPr>
              <w:noProof/>
            </w:rPr>
            <w:t>4</w:t>
          </w:r>
        </w:fldSimple>
      </w:p>
    </w:sdtContent>
  </w:sdt>
  <w:p w:rsidR="000813FD" w:rsidRDefault="00081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3FD" w:rsidRDefault="000813FD" w:rsidP="00E84241">
      <w:r>
        <w:separator/>
      </w:r>
    </w:p>
  </w:footnote>
  <w:footnote w:type="continuationSeparator" w:id="0">
    <w:p w:rsidR="000813FD" w:rsidRDefault="000813FD" w:rsidP="00E84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2D24"/>
    <w:multiLevelType w:val="hybridMultilevel"/>
    <w:tmpl w:val="0E2A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A4B60"/>
    <w:multiLevelType w:val="hybridMultilevel"/>
    <w:tmpl w:val="D45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727CD"/>
    <w:multiLevelType w:val="hybridMultilevel"/>
    <w:tmpl w:val="332A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52103"/>
    <w:multiLevelType w:val="hybridMultilevel"/>
    <w:tmpl w:val="5006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F2849"/>
    <w:multiLevelType w:val="multilevel"/>
    <w:tmpl w:val="F9B68640"/>
    <w:lvl w:ilvl="0">
      <w:start w:val="1"/>
      <w:numFmt w:val="upperRoman"/>
      <w:lvlText w:val="%1."/>
      <w:lvlJc w:val="left"/>
      <w:pPr>
        <w:ind w:left="0" w:firstLine="0"/>
      </w:pPr>
      <w:rPr>
        <w:rFonts w:hint="default"/>
      </w:rPr>
    </w:lvl>
    <w:lvl w:ilvl="1">
      <w:start w:val="1"/>
      <w:numFmt w:val="decimal"/>
      <w:pStyle w:val="ListParagraph"/>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nsid w:val="4CEC3FBA"/>
    <w:multiLevelType w:val="hybridMultilevel"/>
    <w:tmpl w:val="197C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F34CE1"/>
    <w:multiLevelType w:val="hybridMultilevel"/>
    <w:tmpl w:val="3A8C9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03D4A"/>
    <w:multiLevelType w:val="hybridMultilevel"/>
    <w:tmpl w:val="E7EA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A3D5F"/>
    <w:multiLevelType w:val="hybridMultilevel"/>
    <w:tmpl w:val="37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BA6F2A"/>
    <w:multiLevelType w:val="multilevel"/>
    <w:tmpl w:val="447811DA"/>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4"/>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savePreviewPicture/>
  <w:footnotePr>
    <w:footnote w:id="-1"/>
    <w:footnote w:id="0"/>
  </w:footnotePr>
  <w:endnotePr>
    <w:endnote w:id="-1"/>
    <w:endnote w:id="0"/>
  </w:endnotePr>
  <w:compat/>
  <w:rsids>
    <w:rsidRoot w:val="00C6048A"/>
    <w:rsid w:val="00011734"/>
    <w:rsid w:val="00012CE3"/>
    <w:rsid w:val="000147A9"/>
    <w:rsid w:val="00037685"/>
    <w:rsid w:val="000425C7"/>
    <w:rsid w:val="0006704E"/>
    <w:rsid w:val="00067A7A"/>
    <w:rsid w:val="00072652"/>
    <w:rsid w:val="00074408"/>
    <w:rsid w:val="00075DB6"/>
    <w:rsid w:val="000813FD"/>
    <w:rsid w:val="000D686A"/>
    <w:rsid w:val="00121A6F"/>
    <w:rsid w:val="00122B32"/>
    <w:rsid w:val="00124449"/>
    <w:rsid w:val="00124FBD"/>
    <w:rsid w:val="00145370"/>
    <w:rsid w:val="00183D28"/>
    <w:rsid w:val="00195EAE"/>
    <w:rsid w:val="001A7707"/>
    <w:rsid w:val="001D1FB9"/>
    <w:rsid w:val="001F31C6"/>
    <w:rsid w:val="00207001"/>
    <w:rsid w:val="00220F58"/>
    <w:rsid w:val="00225388"/>
    <w:rsid w:val="002444D2"/>
    <w:rsid w:val="00266004"/>
    <w:rsid w:val="00272E5D"/>
    <w:rsid w:val="0027725D"/>
    <w:rsid w:val="00292BB1"/>
    <w:rsid w:val="002A788A"/>
    <w:rsid w:val="002F4F9E"/>
    <w:rsid w:val="00306DDB"/>
    <w:rsid w:val="00311A9A"/>
    <w:rsid w:val="003134D6"/>
    <w:rsid w:val="00323EF7"/>
    <w:rsid w:val="0034519D"/>
    <w:rsid w:val="003716C7"/>
    <w:rsid w:val="003733A9"/>
    <w:rsid w:val="003940BF"/>
    <w:rsid w:val="00395B76"/>
    <w:rsid w:val="00397DDC"/>
    <w:rsid w:val="003B3142"/>
    <w:rsid w:val="00414AC4"/>
    <w:rsid w:val="004427E2"/>
    <w:rsid w:val="00460A6D"/>
    <w:rsid w:val="004652BE"/>
    <w:rsid w:val="0048315A"/>
    <w:rsid w:val="004A349E"/>
    <w:rsid w:val="004A43A8"/>
    <w:rsid w:val="004B4AF2"/>
    <w:rsid w:val="004C5818"/>
    <w:rsid w:val="004F5743"/>
    <w:rsid w:val="00520A37"/>
    <w:rsid w:val="00527AF2"/>
    <w:rsid w:val="0053205F"/>
    <w:rsid w:val="00536260"/>
    <w:rsid w:val="0054011D"/>
    <w:rsid w:val="00545559"/>
    <w:rsid w:val="005527A6"/>
    <w:rsid w:val="00553C6B"/>
    <w:rsid w:val="00561144"/>
    <w:rsid w:val="00574AE3"/>
    <w:rsid w:val="005778A7"/>
    <w:rsid w:val="005862E1"/>
    <w:rsid w:val="00587CAC"/>
    <w:rsid w:val="00591236"/>
    <w:rsid w:val="005914EC"/>
    <w:rsid w:val="005B51D7"/>
    <w:rsid w:val="005D404D"/>
    <w:rsid w:val="00613737"/>
    <w:rsid w:val="00670E13"/>
    <w:rsid w:val="006910CE"/>
    <w:rsid w:val="0069717A"/>
    <w:rsid w:val="006C1BDA"/>
    <w:rsid w:val="006F34E4"/>
    <w:rsid w:val="007210AC"/>
    <w:rsid w:val="0075438A"/>
    <w:rsid w:val="007944AF"/>
    <w:rsid w:val="00796CAF"/>
    <w:rsid w:val="00797520"/>
    <w:rsid w:val="007B0915"/>
    <w:rsid w:val="007B0BF5"/>
    <w:rsid w:val="007B497F"/>
    <w:rsid w:val="00830ED9"/>
    <w:rsid w:val="008343C9"/>
    <w:rsid w:val="0083650C"/>
    <w:rsid w:val="008370C6"/>
    <w:rsid w:val="008410BF"/>
    <w:rsid w:val="00846BF8"/>
    <w:rsid w:val="00873493"/>
    <w:rsid w:val="00880F83"/>
    <w:rsid w:val="0088694F"/>
    <w:rsid w:val="008949E6"/>
    <w:rsid w:val="008C328E"/>
    <w:rsid w:val="008C38D4"/>
    <w:rsid w:val="008D7D86"/>
    <w:rsid w:val="008E3638"/>
    <w:rsid w:val="00926FB8"/>
    <w:rsid w:val="00945CE5"/>
    <w:rsid w:val="009905D4"/>
    <w:rsid w:val="0099104D"/>
    <w:rsid w:val="009D3CEC"/>
    <w:rsid w:val="009E4D10"/>
    <w:rsid w:val="009E6284"/>
    <w:rsid w:val="00A310DD"/>
    <w:rsid w:val="00A3292C"/>
    <w:rsid w:val="00A36C7F"/>
    <w:rsid w:val="00A37068"/>
    <w:rsid w:val="00A529B4"/>
    <w:rsid w:val="00A73B10"/>
    <w:rsid w:val="00A75287"/>
    <w:rsid w:val="00AA095E"/>
    <w:rsid w:val="00AA1DC0"/>
    <w:rsid w:val="00AA26F7"/>
    <w:rsid w:val="00AB2386"/>
    <w:rsid w:val="00AC09EA"/>
    <w:rsid w:val="00AD3B3C"/>
    <w:rsid w:val="00AF1822"/>
    <w:rsid w:val="00B026D1"/>
    <w:rsid w:val="00B1649F"/>
    <w:rsid w:val="00B41E93"/>
    <w:rsid w:val="00B457A1"/>
    <w:rsid w:val="00B57478"/>
    <w:rsid w:val="00B640C3"/>
    <w:rsid w:val="00B71C1F"/>
    <w:rsid w:val="00B806EA"/>
    <w:rsid w:val="00B843BD"/>
    <w:rsid w:val="00B86E36"/>
    <w:rsid w:val="00B9626C"/>
    <w:rsid w:val="00BA5305"/>
    <w:rsid w:val="00BC4BA3"/>
    <w:rsid w:val="00BC6DDF"/>
    <w:rsid w:val="00BE290A"/>
    <w:rsid w:val="00C000D5"/>
    <w:rsid w:val="00C011B3"/>
    <w:rsid w:val="00C4532E"/>
    <w:rsid w:val="00C6048A"/>
    <w:rsid w:val="00CA1805"/>
    <w:rsid w:val="00CA22B3"/>
    <w:rsid w:val="00CA5C42"/>
    <w:rsid w:val="00CA7A9A"/>
    <w:rsid w:val="00CC6C28"/>
    <w:rsid w:val="00CE088C"/>
    <w:rsid w:val="00CE5A14"/>
    <w:rsid w:val="00CE7995"/>
    <w:rsid w:val="00CF639C"/>
    <w:rsid w:val="00D03C37"/>
    <w:rsid w:val="00D10890"/>
    <w:rsid w:val="00D269CE"/>
    <w:rsid w:val="00D3124D"/>
    <w:rsid w:val="00D46F1E"/>
    <w:rsid w:val="00D51296"/>
    <w:rsid w:val="00D545BF"/>
    <w:rsid w:val="00D77140"/>
    <w:rsid w:val="00D85655"/>
    <w:rsid w:val="00D93CF5"/>
    <w:rsid w:val="00DA7D27"/>
    <w:rsid w:val="00DD10E9"/>
    <w:rsid w:val="00DE73F3"/>
    <w:rsid w:val="00E2237A"/>
    <w:rsid w:val="00E2238B"/>
    <w:rsid w:val="00E361A9"/>
    <w:rsid w:val="00E84241"/>
    <w:rsid w:val="00E904F3"/>
    <w:rsid w:val="00E94042"/>
    <w:rsid w:val="00EE724C"/>
    <w:rsid w:val="00EF4EFA"/>
    <w:rsid w:val="00F01B95"/>
    <w:rsid w:val="00F070FA"/>
    <w:rsid w:val="00F1021F"/>
    <w:rsid w:val="00F11172"/>
    <w:rsid w:val="00F40B6A"/>
    <w:rsid w:val="00F60CC0"/>
    <w:rsid w:val="00F61D59"/>
    <w:rsid w:val="00F73AB1"/>
    <w:rsid w:val="00FA193F"/>
    <w:rsid w:val="00FB0AC8"/>
    <w:rsid w:val="00FC6C15"/>
    <w:rsid w:val="00FE4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Signature" w:uiPriority="0" w:qFormat="1"/>
    <w:lsdException w:name="Default Paragraph Font" w:uiPriority="1"/>
    <w:lsdException w:name="Body Text" w:uiPriority="0" w:qFormat="1"/>
    <w:lsdException w:name="Subtitle" w:semiHidden="0" w:uiPriority="0" w:unhideWhenUsed="0" w:qFormat="1"/>
    <w:lsdException w:name="Body Text 2"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650C"/>
    <w:rPr>
      <w:rFonts w:ascii="CG Times" w:hAnsi="CG Times"/>
      <w:bCs/>
      <w:sz w:val="24"/>
      <w:szCs w:val="24"/>
    </w:rPr>
  </w:style>
  <w:style w:type="paragraph" w:styleId="Heading1">
    <w:name w:val="heading 1"/>
    <w:aliases w:val="h1"/>
    <w:basedOn w:val="Normal"/>
    <w:next w:val="Normal"/>
    <w:link w:val="Heading1Char"/>
    <w:qFormat/>
    <w:rsid w:val="0083650C"/>
    <w:pPr>
      <w:keepNext/>
      <w:keepLines/>
      <w:numPr>
        <w:numId w:val="15"/>
      </w:numPr>
      <w:spacing w:after="240"/>
      <w:outlineLvl w:val="0"/>
    </w:pPr>
    <w:rPr>
      <w:rFonts w:eastAsiaTheme="majorEastAsia" w:cstheme="majorBidi"/>
      <w:caps/>
      <w:u w:val="single"/>
    </w:rPr>
  </w:style>
  <w:style w:type="paragraph" w:styleId="Heading2">
    <w:name w:val="heading 2"/>
    <w:aliases w:val="h2"/>
    <w:basedOn w:val="Normal"/>
    <w:next w:val="BodyText2"/>
    <w:link w:val="Heading2Char"/>
    <w:semiHidden/>
    <w:unhideWhenUsed/>
    <w:qFormat/>
    <w:rsid w:val="0083650C"/>
    <w:pPr>
      <w:keepNext/>
      <w:keepLines/>
      <w:numPr>
        <w:ilvl w:val="1"/>
        <w:numId w:val="15"/>
      </w:numPr>
      <w:spacing w:after="240"/>
      <w:outlineLvl w:val="1"/>
    </w:pPr>
    <w:rPr>
      <w:rFonts w:eastAsiaTheme="majorEastAsia" w:cstheme="majorBidi"/>
      <w:iCs/>
      <w:szCs w:val="28"/>
      <w:u w:val="single"/>
    </w:rPr>
  </w:style>
  <w:style w:type="paragraph" w:styleId="Heading3">
    <w:name w:val="heading 3"/>
    <w:aliases w:val="h3"/>
    <w:basedOn w:val="Normal"/>
    <w:next w:val="BodyText2"/>
    <w:link w:val="Heading3Char"/>
    <w:semiHidden/>
    <w:unhideWhenUsed/>
    <w:qFormat/>
    <w:rsid w:val="0083650C"/>
    <w:pPr>
      <w:keepNext/>
      <w:keepLines/>
      <w:numPr>
        <w:ilvl w:val="2"/>
        <w:numId w:val="15"/>
      </w:numPr>
      <w:spacing w:after="240"/>
      <w:outlineLvl w:val="2"/>
    </w:pPr>
    <w:rPr>
      <w:rFonts w:eastAsiaTheme="majorEastAsia" w:cstheme="majorBidi"/>
      <w:szCs w:val="26"/>
      <w:u w:val="single"/>
    </w:rPr>
  </w:style>
  <w:style w:type="paragraph" w:styleId="Heading4">
    <w:name w:val="heading 4"/>
    <w:aliases w:val="h4"/>
    <w:basedOn w:val="Normal"/>
    <w:next w:val="BodyText2"/>
    <w:link w:val="Heading4Char"/>
    <w:semiHidden/>
    <w:unhideWhenUsed/>
    <w:qFormat/>
    <w:rsid w:val="0083650C"/>
    <w:pPr>
      <w:keepNext/>
      <w:keepLines/>
      <w:numPr>
        <w:ilvl w:val="3"/>
        <w:numId w:val="15"/>
      </w:numPr>
      <w:spacing w:after="240"/>
      <w:outlineLvl w:val="3"/>
    </w:pPr>
    <w:rPr>
      <w:rFonts w:eastAsiaTheme="minorEastAsia" w:cstheme="minorBidi"/>
      <w:szCs w:val="26"/>
      <w:u w:val="single"/>
    </w:rPr>
  </w:style>
  <w:style w:type="paragraph" w:styleId="Heading5">
    <w:name w:val="heading 5"/>
    <w:aliases w:val="h5"/>
    <w:basedOn w:val="Normal"/>
    <w:next w:val="BodyText2"/>
    <w:link w:val="Heading5Char"/>
    <w:semiHidden/>
    <w:unhideWhenUsed/>
    <w:qFormat/>
    <w:rsid w:val="0083650C"/>
    <w:pPr>
      <w:keepNext/>
      <w:keepLines/>
      <w:numPr>
        <w:ilvl w:val="4"/>
        <w:numId w:val="15"/>
      </w:numPr>
      <w:spacing w:after="240"/>
      <w:outlineLvl w:val="4"/>
    </w:pPr>
    <w:rPr>
      <w:rFonts w:eastAsiaTheme="minorEastAsia" w:cstheme="minorBidi"/>
      <w:szCs w:val="26"/>
      <w:u w:val="single"/>
    </w:rPr>
  </w:style>
  <w:style w:type="paragraph" w:styleId="Heading6">
    <w:name w:val="heading 6"/>
    <w:aliases w:val="h6"/>
    <w:basedOn w:val="Normal"/>
    <w:next w:val="BodyText2"/>
    <w:link w:val="Heading6Char"/>
    <w:semiHidden/>
    <w:unhideWhenUsed/>
    <w:qFormat/>
    <w:rsid w:val="0083650C"/>
    <w:pPr>
      <w:keepNext/>
      <w:keepLines/>
      <w:numPr>
        <w:ilvl w:val="5"/>
        <w:numId w:val="15"/>
      </w:numPr>
      <w:spacing w:after="240"/>
      <w:outlineLvl w:val="5"/>
    </w:pPr>
    <w:rPr>
      <w:rFonts w:eastAsiaTheme="minorEastAsia" w:cstheme="minorBidi"/>
      <w:szCs w:val="26"/>
      <w:u w:val="single"/>
    </w:rPr>
  </w:style>
  <w:style w:type="paragraph" w:styleId="Heading7">
    <w:name w:val="heading 7"/>
    <w:aliases w:val="h7"/>
    <w:basedOn w:val="Normal"/>
    <w:next w:val="BodyText2"/>
    <w:link w:val="Heading7Char"/>
    <w:semiHidden/>
    <w:unhideWhenUsed/>
    <w:qFormat/>
    <w:rsid w:val="0083650C"/>
    <w:pPr>
      <w:keepNext/>
      <w:keepLines/>
      <w:numPr>
        <w:ilvl w:val="6"/>
        <w:numId w:val="15"/>
      </w:numPr>
      <w:spacing w:after="240"/>
      <w:outlineLvl w:val="6"/>
    </w:pPr>
    <w:rPr>
      <w:rFonts w:eastAsiaTheme="minorEastAsia" w:cstheme="minorBidi"/>
      <w:szCs w:val="26"/>
      <w:u w:val="single"/>
    </w:rPr>
  </w:style>
  <w:style w:type="paragraph" w:styleId="Heading8">
    <w:name w:val="heading 8"/>
    <w:aliases w:val="h8"/>
    <w:basedOn w:val="Normal"/>
    <w:next w:val="BodyText2"/>
    <w:link w:val="Heading8Char"/>
    <w:semiHidden/>
    <w:unhideWhenUsed/>
    <w:qFormat/>
    <w:rsid w:val="0083650C"/>
    <w:pPr>
      <w:keepNext/>
      <w:keepLines/>
      <w:numPr>
        <w:ilvl w:val="7"/>
        <w:numId w:val="15"/>
      </w:numPr>
      <w:spacing w:after="240"/>
      <w:outlineLvl w:val="7"/>
    </w:pPr>
    <w:rPr>
      <w:rFonts w:eastAsiaTheme="minorEastAsia" w:cstheme="minorBidi"/>
      <w:szCs w:val="26"/>
      <w:u w:val="single"/>
    </w:rPr>
  </w:style>
  <w:style w:type="paragraph" w:styleId="Heading9">
    <w:name w:val="heading 9"/>
    <w:aliases w:val="h9"/>
    <w:basedOn w:val="Normal"/>
    <w:next w:val="BodyText2"/>
    <w:link w:val="Heading9Char"/>
    <w:semiHidden/>
    <w:unhideWhenUsed/>
    <w:qFormat/>
    <w:rsid w:val="0083650C"/>
    <w:pPr>
      <w:keepNext/>
      <w:keepLines/>
      <w:numPr>
        <w:ilvl w:val="8"/>
        <w:numId w:val="15"/>
      </w:numPr>
      <w:spacing w:after="240"/>
      <w:outlineLvl w:val="8"/>
    </w:pPr>
    <w:rPr>
      <w:rFonts w:ascii="Cambria" w:eastAsiaTheme="majorEastAsia" w:hAnsi="Cambria" w:cstheme="majorBid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3650C"/>
    <w:rPr>
      <w:rFonts w:ascii="CG Times" w:eastAsiaTheme="majorEastAsia" w:hAnsi="CG Times" w:cstheme="majorBidi"/>
      <w:bCs/>
      <w:caps/>
      <w:sz w:val="24"/>
      <w:szCs w:val="24"/>
      <w:u w:val="single"/>
    </w:rPr>
  </w:style>
  <w:style w:type="character" w:customStyle="1" w:styleId="Heading2Char">
    <w:name w:val="Heading 2 Char"/>
    <w:aliases w:val="h2 Char"/>
    <w:basedOn w:val="DefaultParagraphFont"/>
    <w:link w:val="Heading2"/>
    <w:semiHidden/>
    <w:rsid w:val="0083650C"/>
    <w:rPr>
      <w:rFonts w:ascii="CG Times" w:eastAsiaTheme="majorEastAsia" w:hAnsi="CG Times" w:cstheme="majorBidi"/>
      <w:bCs/>
      <w:iCs/>
      <w:sz w:val="24"/>
      <w:szCs w:val="28"/>
      <w:u w:val="single"/>
    </w:rPr>
  </w:style>
  <w:style w:type="character" w:customStyle="1" w:styleId="Heading3Char">
    <w:name w:val="Heading 3 Char"/>
    <w:aliases w:val="h3 Char"/>
    <w:basedOn w:val="DefaultParagraphFont"/>
    <w:link w:val="Heading3"/>
    <w:semiHidden/>
    <w:rsid w:val="0083650C"/>
    <w:rPr>
      <w:rFonts w:ascii="CG Times" w:eastAsiaTheme="majorEastAsia" w:hAnsi="CG Times" w:cstheme="majorBidi"/>
      <w:bCs/>
      <w:sz w:val="24"/>
      <w:szCs w:val="26"/>
      <w:u w:val="single"/>
    </w:rPr>
  </w:style>
  <w:style w:type="character" w:customStyle="1" w:styleId="Heading4Char">
    <w:name w:val="Heading 4 Char"/>
    <w:aliases w:val="h4 Char"/>
    <w:basedOn w:val="DefaultParagraphFont"/>
    <w:link w:val="Heading4"/>
    <w:semiHidden/>
    <w:rsid w:val="0083650C"/>
    <w:rPr>
      <w:rFonts w:ascii="CG Times" w:eastAsiaTheme="minorEastAsia" w:hAnsi="CG Times" w:cstheme="minorBidi"/>
      <w:bCs/>
      <w:sz w:val="24"/>
      <w:szCs w:val="26"/>
      <w:u w:val="single"/>
    </w:rPr>
  </w:style>
  <w:style w:type="character" w:customStyle="1" w:styleId="Heading5Char">
    <w:name w:val="Heading 5 Char"/>
    <w:aliases w:val="h5 Char"/>
    <w:basedOn w:val="DefaultParagraphFont"/>
    <w:link w:val="Heading5"/>
    <w:semiHidden/>
    <w:rsid w:val="0083650C"/>
    <w:rPr>
      <w:rFonts w:ascii="CG Times" w:eastAsiaTheme="minorEastAsia" w:hAnsi="CG Times" w:cstheme="minorBidi"/>
      <w:bCs/>
      <w:sz w:val="24"/>
      <w:szCs w:val="26"/>
      <w:u w:val="single"/>
    </w:rPr>
  </w:style>
  <w:style w:type="character" w:customStyle="1" w:styleId="Heading6Char">
    <w:name w:val="Heading 6 Char"/>
    <w:aliases w:val="h6 Char"/>
    <w:basedOn w:val="DefaultParagraphFont"/>
    <w:link w:val="Heading6"/>
    <w:semiHidden/>
    <w:rsid w:val="0083650C"/>
    <w:rPr>
      <w:rFonts w:ascii="CG Times" w:eastAsiaTheme="minorEastAsia" w:hAnsi="CG Times" w:cstheme="minorBidi"/>
      <w:bCs/>
      <w:sz w:val="24"/>
      <w:szCs w:val="26"/>
      <w:u w:val="single"/>
    </w:rPr>
  </w:style>
  <w:style w:type="character" w:customStyle="1" w:styleId="Heading7Char">
    <w:name w:val="Heading 7 Char"/>
    <w:aliases w:val="h7 Char"/>
    <w:basedOn w:val="DefaultParagraphFont"/>
    <w:link w:val="Heading7"/>
    <w:semiHidden/>
    <w:rsid w:val="0083650C"/>
    <w:rPr>
      <w:rFonts w:ascii="CG Times" w:eastAsiaTheme="minorEastAsia" w:hAnsi="CG Times" w:cstheme="minorBidi"/>
      <w:bCs/>
      <w:sz w:val="24"/>
      <w:szCs w:val="26"/>
      <w:u w:val="single"/>
    </w:rPr>
  </w:style>
  <w:style w:type="character" w:customStyle="1" w:styleId="Heading8Char">
    <w:name w:val="Heading 8 Char"/>
    <w:aliases w:val="h8 Char"/>
    <w:basedOn w:val="DefaultParagraphFont"/>
    <w:link w:val="Heading8"/>
    <w:semiHidden/>
    <w:rsid w:val="0083650C"/>
    <w:rPr>
      <w:rFonts w:ascii="CG Times" w:eastAsiaTheme="minorEastAsia" w:hAnsi="CG Times" w:cstheme="minorBidi"/>
      <w:bCs/>
      <w:sz w:val="24"/>
      <w:szCs w:val="26"/>
      <w:u w:val="single"/>
    </w:rPr>
  </w:style>
  <w:style w:type="character" w:customStyle="1" w:styleId="Heading9Char">
    <w:name w:val="Heading 9 Char"/>
    <w:aliases w:val="h9 Char"/>
    <w:basedOn w:val="DefaultParagraphFont"/>
    <w:link w:val="Heading9"/>
    <w:rsid w:val="0083650C"/>
    <w:rPr>
      <w:rFonts w:ascii="Cambria" w:eastAsiaTheme="majorEastAsia" w:hAnsi="Cambria" w:cstheme="majorBidi"/>
      <w:bCs/>
      <w:sz w:val="24"/>
      <w:szCs w:val="22"/>
      <w:u w:val="single"/>
    </w:rPr>
  </w:style>
  <w:style w:type="paragraph" w:styleId="Title">
    <w:name w:val="Title"/>
    <w:aliases w:val="Title 1,Test"/>
    <w:basedOn w:val="Normal"/>
    <w:link w:val="TitleChar"/>
    <w:qFormat/>
    <w:rsid w:val="0083650C"/>
    <w:pPr>
      <w:spacing w:after="240"/>
      <w:jc w:val="center"/>
      <w:outlineLvl w:val="0"/>
    </w:pPr>
    <w:rPr>
      <w:rFonts w:eastAsiaTheme="majorEastAsia" w:cs="Arial"/>
      <w:bCs w:val="0"/>
      <w:caps/>
    </w:rPr>
  </w:style>
  <w:style w:type="character" w:customStyle="1" w:styleId="TitleChar">
    <w:name w:val="Title Char"/>
    <w:aliases w:val="Title 1 Char,Test Char"/>
    <w:basedOn w:val="DefaultParagraphFont"/>
    <w:link w:val="Title"/>
    <w:rsid w:val="0083650C"/>
    <w:rPr>
      <w:rFonts w:ascii="CG Times" w:eastAsiaTheme="majorEastAsia" w:hAnsi="CG Times" w:cs="Arial"/>
      <w:caps/>
      <w:sz w:val="24"/>
      <w:szCs w:val="24"/>
    </w:rPr>
  </w:style>
  <w:style w:type="paragraph" w:styleId="Subtitle">
    <w:name w:val="Subtitle"/>
    <w:basedOn w:val="Normal"/>
    <w:next w:val="BodyText"/>
    <w:link w:val="SubtitleChar"/>
    <w:qFormat/>
    <w:rsid w:val="0083650C"/>
    <w:pPr>
      <w:numPr>
        <w:ilvl w:val="1"/>
      </w:numPr>
      <w:spacing w:after="240"/>
    </w:pPr>
    <w:rPr>
      <w:rFonts w:eastAsiaTheme="majorEastAsia"/>
      <w:bCs w:val="0"/>
      <w:caps/>
    </w:rPr>
  </w:style>
  <w:style w:type="character" w:customStyle="1" w:styleId="SubtitleChar">
    <w:name w:val="Subtitle Char"/>
    <w:basedOn w:val="DefaultParagraphFont"/>
    <w:link w:val="Subtitle"/>
    <w:rsid w:val="0083650C"/>
    <w:rPr>
      <w:rFonts w:ascii="CG Times" w:eastAsiaTheme="majorEastAsia" w:hAnsi="CG Times"/>
      <w:caps/>
      <w:sz w:val="24"/>
      <w:szCs w:val="24"/>
    </w:rPr>
  </w:style>
  <w:style w:type="character" w:styleId="Strong">
    <w:name w:val="Strong"/>
    <w:basedOn w:val="DefaultParagraphFont"/>
    <w:uiPriority w:val="22"/>
    <w:rsid w:val="00F070FA"/>
    <w:rPr>
      <w:b/>
      <w:bCs/>
    </w:rPr>
  </w:style>
  <w:style w:type="character" w:styleId="Emphasis">
    <w:name w:val="Emphasis"/>
    <w:basedOn w:val="DefaultParagraphFont"/>
    <w:uiPriority w:val="20"/>
    <w:rsid w:val="00F070FA"/>
    <w:rPr>
      <w:rFonts w:asciiTheme="minorHAnsi" w:hAnsiTheme="minorHAnsi"/>
      <w:b/>
      <w:i/>
      <w:iCs/>
    </w:rPr>
  </w:style>
  <w:style w:type="paragraph" w:styleId="NoSpacing">
    <w:name w:val="No Spacing"/>
    <w:basedOn w:val="Normal"/>
    <w:uiPriority w:val="1"/>
    <w:rsid w:val="00F070FA"/>
    <w:rPr>
      <w:szCs w:val="32"/>
    </w:rPr>
  </w:style>
  <w:style w:type="paragraph" w:styleId="ListParagraph">
    <w:name w:val="List Paragraph"/>
    <w:basedOn w:val="Heading2"/>
    <w:uiPriority w:val="34"/>
    <w:qFormat/>
    <w:rsid w:val="0083650C"/>
    <w:pPr>
      <w:numPr>
        <w:numId w:val="16"/>
      </w:numPr>
    </w:pPr>
    <w:rPr>
      <w:rFonts w:eastAsia="Times New Roman" w:cs="Times New Roman"/>
      <w:u w:val="none"/>
    </w:rPr>
  </w:style>
  <w:style w:type="paragraph" w:styleId="Quote">
    <w:name w:val="Quote"/>
    <w:basedOn w:val="Normal"/>
    <w:next w:val="Normal"/>
    <w:link w:val="QuoteChar"/>
    <w:uiPriority w:val="29"/>
    <w:rsid w:val="00F070FA"/>
    <w:rPr>
      <w:i/>
    </w:rPr>
  </w:style>
  <w:style w:type="character" w:customStyle="1" w:styleId="QuoteChar">
    <w:name w:val="Quote Char"/>
    <w:basedOn w:val="DefaultParagraphFont"/>
    <w:link w:val="Quote"/>
    <w:uiPriority w:val="29"/>
    <w:rsid w:val="00F070FA"/>
    <w:rPr>
      <w:i/>
      <w:sz w:val="24"/>
      <w:szCs w:val="24"/>
    </w:rPr>
  </w:style>
  <w:style w:type="paragraph" w:styleId="IntenseQuote">
    <w:name w:val="Intense Quote"/>
    <w:basedOn w:val="Normal"/>
    <w:next w:val="Normal"/>
    <w:link w:val="IntenseQuoteChar"/>
    <w:uiPriority w:val="30"/>
    <w:rsid w:val="00F070FA"/>
    <w:pPr>
      <w:ind w:left="720" w:right="720"/>
    </w:pPr>
    <w:rPr>
      <w:b/>
      <w:i/>
      <w:szCs w:val="22"/>
    </w:rPr>
  </w:style>
  <w:style w:type="character" w:customStyle="1" w:styleId="IntenseQuoteChar">
    <w:name w:val="Intense Quote Char"/>
    <w:basedOn w:val="DefaultParagraphFont"/>
    <w:link w:val="IntenseQuote"/>
    <w:uiPriority w:val="30"/>
    <w:rsid w:val="00F070FA"/>
    <w:rPr>
      <w:b/>
      <w:i/>
      <w:sz w:val="24"/>
    </w:rPr>
  </w:style>
  <w:style w:type="character" w:styleId="SubtleEmphasis">
    <w:name w:val="Subtle Emphasis"/>
    <w:uiPriority w:val="19"/>
    <w:rsid w:val="00F070FA"/>
    <w:rPr>
      <w:i/>
      <w:color w:val="5A5A5A" w:themeColor="text1" w:themeTint="A5"/>
    </w:rPr>
  </w:style>
  <w:style w:type="character" w:styleId="IntenseEmphasis">
    <w:name w:val="Intense Emphasis"/>
    <w:basedOn w:val="DefaultParagraphFont"/>
    <w:uiPriority w:val="21"/>
    <w:rsid w:val="00F070FA"/>
    <w:rPr>
      <w:b/>
      <w:i/>
      <w:sz w:val="24"/>
      <w:szCs w:val="24"/>
      <w:u w:val="single"/>
    </w:rPr>
  </w:style>
  <w:style w:type="character" w:styleId="SubtleReference">
    <w:name w:val="Subtle Reference"/>
    <w:basedOn w:val="DefaultParagraphFont"/>
    <w:uiPriority w:val="31"/>
    <w:rsid w:val="00F070FA"/>
    <w:rPr>
      <w:sz w:val="24"/>
      <w:szCs w:val="24"/>
      <w:u w:val="single"/>
    </w:rPr>
  </w:style>
  <w:style w:type="character" w:styleId="IntenseReference">
    <w:name w:val="Intense Reference"/>
    <w:basedOn w:val="DefaultParagraphFont"/>
    <w:uiPriority w:val="32"/>
    <w:rsid w:val="00F070FA"/>
    <w:rPr>
      <w:b/>
      <w:sz w:val="24"/>
      <w:u w:val="single"/>
    </w:rPr>
  </w:style>
  <w:style w:type="character" w:styleId="BookTitle">
    <w:name w:val="Book Title"/>
    <w:basedOn w:val="DefaultParagraphFont"/>
    <w:uiPriority w:val="33"/>
    <w:rsid w:val="00F070F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070FA"/>
    <w:pPr>
      <w:numPr>
        <w:numId w:val="0"/>
      </w:numPr>
      <w:spacing w:before="480" w:after="0"/>
      <w:outlineLvl w:val="9"/>
    </w:pPr>
    <w:rPr>
      <w:rFonts w:asciiTheme="majorHAnsi" w:hAnsiTheme="majorHAnsi"/>
      <w:b/>
      <w:bCs w:val="0"/>
      <w:caps w:val="0"/>
      <w:color w:val="365F91" w:themeColor="accent1" w:themeShade="BF"/>
      <w:sz w:val="28"/>
      <w:szCs w:val="28"/>
      <w:u w:val="none"/>
    </w:rPr>
  </w:style>
  <w:style w:type="paragraph" w:styleId="Header">
    <w:name w:val="header"/>
    <w:basedOn w:val="Normal"/>
    <w:link w:val="HeaderChar"/>
    <w:uiPriority w:val="99"/>
    <w:semiHidden/>
    <w:unhideWhenUsed/>
    <w:rsid w:val="00E84241"/>
    <w:pPr>
      <w:tabs>
        <w:tab w:val="center" w:pos="4680"/>
        <w:tab w:val="right" w:pos="9360"/>
      </w:tabs>
    </w:pPr>
  </w:style>
  <w:style w:type="character" w:customStyle="1" w:styleId="HeaderChar">
    <w:name w:val="Header Char"/>
    <w:basedOn w:val="DefaultParagraphFont"/>
    <w:link w:val="Header"/>
    <w:uiPriority w:val="99"/>
    <w:semiHidden/>
    <w:rsid w:val="00E84241"/>
    <w:rPr>
      <w:sz w:val="24"/>
      <w:szCs w:val="24"/>
    </w:rPr>
  </w:style>
  <w:style w:type="paragraph" w:styleId="Footer">
    <w:name w:val="footer"/>
    <w:basedOn w:val="Normal"/>
    <w:link w:val="FooterChar"/>
    <w:uiPriority w:val="99"/>
    <w:unhideWhenUsed/>
    <w:rsid w:val="00E84241"/>
    <w:pPr>
      <w:tabs>
        <w:tab w:val="center" w:pos="4680"/>
        <w:tab w:val="right" w:pos="9360"/>
      </w:tabs>
    </w:pPr>
  </w:style>
  <w:style w:type="character" w:customStyle="1" w:styleId="FooterChar">
    <w:name w:val="Footer Char"/>
    <w:basedOn w:val="DefaultParagraphFont"/>
    <w:link w:val="Footer"/>
    <w:uiPriority w:val="99"/>
    <w:rsid w:val="00E84241"/>
    <w:rPr>
      <w:sz w:val="24"/>
      <w:szCs w:val="24"/>
    </w:rPr>
  </w:style>
  <w:style w:type="paragraph" w:styleId="BodyText2">
    <w:name w:val="Body Text 2"/>
    <w:basedOn w:val="Normal"/>
    <w:link w:val="BodyText2Char"/>
    <w:qFormat/>
    <w:rsid w:val="0083650C"/>
    <w:pPr>
      <w:spacing w:line="480" w:lineRule="auto"/>
      <w:ind w:firstLine="720"/>
    </w:pPr>
  </w:style>
  <w:style w:type="character" w:customStyle="1" w:styleId="BodyText2Char">
    <w:name w:val="Body Text 2 Char"/>
    <w:basedOn w:val="DefaultParagraphFont"/>
    <w:link w:val="BodyText2"/>
    <w:rsid w:val="0083650C"/>
    <w:rPr>
      <w:rFonts w:ascii="CG Times" w:hAnsi="CG Times"/>
      <w:bCs/>
      <w:sz w:val="24"/>
      <w:szCs w:val="24"/>
    </w:rPr>
  </w:style>
  <w:style w:type="paragraph" w:styleId="FootnoteText">
    <w:name w:val="footnote text"/>
    <w:basedOn w:val="Normal"/>
    <w:link w:val="FootnoteTextChar"/>
    <w:qFormat/>
    <w:rsid w:val="0083650C"/>
    <w:pPr>
      <w:spacing w:after="240"/>
      <w:ind w:left="720" w:hanging="720"/>
    </w:pPr>
  </w:style>
  <w:style w:type="character" w:customStyle="1" w:styleId="FootnoteTextChar">
    <w:name w:val="Footnote Text Char"/>
    <w:basedOn w:val="DefaultParagraphFont"/>
    <w:link w:val="FootnoteText"/>
    <w:rsid w:val="0083650C"/>
    <w:rPr>
      <w:rFonts w:ascii="CG Times" w:hAnsi="CG Times"/>
      <w:bCs/>
      <w:sz w:val="24"/>
      <w:szCs w:val="24"/>
    </w:rPr>
  </w:style>
  <w:style w:type="character" w:styleId="FootnoteReference">
    <w:name w:val="footnote reference"/>
    <w:qFormat/>
    <w:rsid w:val="0083650C"/>
    <w:rPr>
      <w:vertAlign w:val="superscript"/>
    </w:rPr>
  </w:style>
  <w:style w:type="paragraph" w:styleId="Signature">
    <w:name w:val="Signature"/>
    <w:basedOn w:val="Normal"/>
    <w:link w:val="SignatureChar"/>
    <w:qFormat/>
    <w:rsid w:val="0083650C"/>
    <w:pPr>
      <w:ind w:left="5040"/>
    </w:pPr>
    <w:rPr>
      <w:bCs w:val="0"/>
    </w:rPr>
  </w:style>
  <w:style w:type="character" w:customStyle="1" w:styleId="SignatureChar">
    <w:name w:val="Signature Char"/>
    <w:basedOn w:val="DefaultParagraphFont"/>
    <w:link w:val="Signature"/>
    <w:rsid w:val="0083650C"/>
    <w:rPr>
      <w:rFonts w:ascii="CG Times" w:hAnsi="CG Times"/>
      <w:sz w:val="24"/>
      <w:szCs w:val="24"/>
    </w:rPr>
  </w:style>
  <w:style w:type="paragraph" w:styleId="BodyText">
    <w:name w:val="Body Text"/>
    <w:basedOn w:val="Normal"/>
    <w:link w:val="BodyTextChar"/>
    <w:qFormat/>
    <w:rsid w:val="0083650C"/>
    <w:pPr>
      <w:spacing w:after="240"/>
      <w:ind w:firstLine="720"/>
    </w:pPr>
  </w:style>
  <w:style w:type="character" w:customStyle="1" w:styleId="BodyTextChar">
    <w:name w:val="Body Text Char"/>
    <w:basedOn w:val="DefaultParagraphFont"/>
    <w:link w:val="BodyText"/>
    <w:rsid w:val="0083650C"/>
    <w:rPr>
      <w:rFonts w:ascii="CG Times" w:hAnsi="CG Times"/>
      <w:bCs/>
      <w:sz w:val="24"/>
      <w:szCs w:val="24"/>
    </w:rPr>
  </w:style>
  <w:style w:type="paragraph" w:styleId="BlockText">
    <w:name w:val="Block Text"/>
    <w:basedOn w:val="Normal"/>
    <w:qFormat/>
    <w:rsid w:val="0083650C"/>
    <w:pPr>
      <w:spacing w:after="240"/>
    </w:pPr>
  </w:style>
  <w:style w:type="paragraph" w:customStyle="1" w:styleId="BlockText2">
    <w:name w:val="Block Text 2"/>
    <w:basedOn w:val="Normal"/>
    <w:qFormat/>
    <w:rsid w:val="0083650C"/>
    <w:pPr>
      <w:spacing w:line="480" w:lineRule="auto"/>
    </w:pPr>
    <w:rPr>
      <w:bCs w:val="0"/>
    </w:rPr>
  </w:style>
  <w:style w:type="paragraph" w:customStyle="1" w:styleId="BlockQuote">
    <w:name w:val="Block Quote"/>
    <w:basedOn w:val="Normal"/>
    <w:qFormat/>
    <w:rsid w:val="0083650C"/>
    <w:pPr>
      <w:spacing w:after="240"/>
      <w:ind w:left="720" w:right="720"/>
    </w:pPr>
    <w:rPr>
      <w:bCs w:val="0"/>
    </w:rPr>
  </w:style>
  <w:style w:type="paragraph" w:customStyle="1" w:styleId="BlockQuote2">
    <w:name w:val="Block Quote 2"/>
    <w:basedOn w:val="Normal"/>
    <w:qFormat/>
    <w:rsid w:val="0083650C"/>
    <w:pPr>
      <w:spacing w:line="480" w:lineRule="auto"/>
      <w:ind w:left="720" w:right="720"/>
    </w:pPr>
  </w:style>
  <w:style w:type="paragraph" w:customStyle="1" w:styleId="BodyTextLeftIndent">
    <w:name w:val="Body Text Left Indent"/>
    <w:basedOn w:val="Normal"/>
    <w:qFormat/>
    <w:rsid w:val="0083650C"/>
    <w:pPr>
      <w:spacing w:after="240"/>
      <w:ind w:left="720" w:firstLine="720"/>
    </w:pPr>
  </w:style>
  <w:style w:type="paragraph" w:customStyle="1" w:styleId="BodyText2LeftIndent">
    <w:name w:val="Body Text 2 Left Indent"/>
    <w:basedOn w:val="Normal"/>
    <w:qFormat/>
    <w:rsid w:val="0083650C"/>
    <w:pPr>
      <w:spacing w:line="480" w:lineRule="auto"/>
      <w:ind w:left="720" w:firstLine="720"/>
    </w:pPr>
  </w:style>
  <w:style w:type="paragraph" w:customStyle="1" w:styleId="Title2">
    <w:name w:val="Title 2"/>
    <w:basedOn w:val="Normal"/>
    <w:qFormat/>
    <w:rsid w:val="0083650C"/>
    <w:pPr>
      <w:spacing w:after="240"/>
      <w:jc w:val="center"/>
    </w:pPr>
    <w:rPr>
      <w:b/>
      <w:bCs w:val="0"/>
      <w:caps/>
    </w:rPr>
  </w:style>
  <w:style w:type="paragraph" w:customStyle="1" w:styleId="Title3">
    <w:name w:val="Title 3"/>
    <w:basedOn w:val="Normal"/>
    <w:qFormat/>
    <w:rsid w:val="0083650C"/>
    <w:pPr>
      <w:spacing w:after="240"/>
      <w:jc w:val="center"/>
    </w:pPr>
    <w:rPr>
      <w:rFonts w:ascii="Times New Roman Bold" w:hAnsi="Times New Roman Bold"/>
      <w:b/>
      <w:caps/>
      <w:u w:val="single"/>
    </w:rPr>
  </w:style>
  <w:style w:type="paragraph" w:customStyle="1" w:styleId="Title4">
    <w:name w:val="Title 4"/>
    <w:basedOn w:val="Normal"/>
    <w:qFormat/>
    <w:rsid w:val="0083650C"/>
    <w:pPr>
      <w:spacing w:after="240"/>
      <w:jc w:val="center"/>
    </w:pPr>
    <w:rPr>
      <w:b/>
      <w:u w:val="single"/>
    </w:rPr>
  </w:style>
  <w:style w:type="paragraph" w:customStyle="1" w:styleId="SigLine">
    <w:name w:val="Sig Line"/>
    <w:basedOn w:val="Normal"/>
    <w:qFormat/>
    <w:rsid w:val="0083650C"/>
    <w:pPr>
      <w:tabs>
        <w:tab w:val="left" w:leader="underscore" w:pos="9360"/>
      </w:tabs>
      <w:ind w:left="5040"/>
    </w:pPr>
  </w:style>
  <w:style w:type="character" w:styleId="CommentReference">
    <w:name w:val="annotation reference"/>
    <w:basedOn w:val="DefaultParagraphFont"/>
    <w:uiPriority w:val="99"/>
    <w:semiHidden/>
    <w:unhideWhenUsed/>
    <w:rsid w:val="00D269CE"/>
    <w:rPr>
      <w:sz w:val="16"/>
      <w:szCs w:val="16"/>
    </w:rPr>
  </w:style>
  <w:style w:type="paragraph" w:styleId="CommentText">
    <w:name w:val="annotation text"/>
    <w:basedOn w:val="Normal"/>
    <w:link w:val="CommentTextChar"/>
    <w:uiPriority w:val="99"/>
    <w:semiHidden/>
    <w:unhideWhenUsed/>
    <w:rsid w:val="00D269CE"/>
    <w:rPr>
      <w:sz w:val="20"/>
      <w:szCs w:val="20"/>
    </w:rPr>
  </w:style>
  <w:style w:type="character" w:customStyle="1" w:styleId="CommentTextChar">
    <w:name w:val="Comment Text Char"/>
    <w:basedOn w:val="DefaultParagraphFont"/>
    <w:link w:val="CommentText"/>
    <w:uiPriority w:val="99"/>
    <w:semiHidden/>
    <w:rsid w:val="00D269CE"/>
    <w:rPr>
      <w:rFonts w:ascii="CG Times" w:hAnsi="CG Times"/>
      <w:bCs/>
    </w:rPr>
  </w:style>
  <w:style w:type="paragraph" w:styleId="CommentSubject">
    <w:name w:val="annotation subject"/>
    <w:basedOn w:val="CommentText"/>
    <w:next w:val="CommentText"/>
    <w:link w:val="CommentSubjectChar"/>
    <w:uiPriority w:val="99"/>
    <w:semiHidden/>
    <w:unhideWhenUsed/>
    <w:rsid w:val="00D269CE"/>
    <w:rPr>
      <w:b/>
    </w:rPr>
  </w:style>
  <w:style w:type="character" w:customStyle="1" w:styleId="CommentSubjectChar">
    <w:name w:val="Comment Subject Char"/>
    <w:basedOn w:val="CommentTextChar"/>
    <w:link w:val="CommentSubject"/>
    <w:uiPriority w:val="99"/>
    <w:semiHidden/>
    <w:rsid w:val="00D269CE"/>
    <w:rPr>
      <w:b/>
    </w:rPr>
  </w:style>
  <w:style w:type="paragraph" w:styleId="BalloonText">
    <w:name w:val="Balloon Text"/>
    <w:basedOn w:val="Normal"/>
    <w:link w:val="BalloonTextChar"/>
    <w:uiPriority w:val="99"/>
    <w:semiHidden/>
    <w:unhideWhenUsed/>
    <w:rsid w:val="00D269CE"/>
    <w:rPr>
      <w:rFonts w:ascii="Tahoma" w:hAnsi="Tahoma" w:cs="Tahoma"/>
      <w:sz w:val="16"/>
      <w:szCs w:val="16"/>
    </w:rPr>
  </w:style>
  <w:style w:type="character" w:customStyle="1" w:styleId="BalloonTextChar">
    <w:name w:val="Balloon Text Char"/>
    <w:basedOn w:val="DefaultParagraphFont"/>
    <w:link w:val="BalloonText"/>
    <w:uiPriority w:val="99"/>
    <w:semiHidden/>
    <w:rsid w:val="00D269CE"/>
    <w:rPr>
      <w:rFonts w:ascii="Tahoma"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213086124">
      <w:bodyDiv w:val="1"/>
      <w:marLeft w:val="0"/>
      <w:marRight w:val="0"/>
      <w:marTop w:val="0"/>
      <w:marBottom w:val="0"/>
      <w:divBdr>
        <w:top w:val="none" w:sz="0" w:space="0" w:color="auto"/>
        <w:left w:val="none" w:sz="0" w:space="0" w:color="auto"/>
        <w:bottom w:val="none" w:sz="0" w:space="0" w:color="auto"/>
        <w:right w:val="none" w:sz="0" w:space="0" w:color="auto"/>
      </w:divBdr>
    </w:div>
    <w:div w:id="9705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1518</Words>
  <Characters>8655</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Three classes of net metering facilities: class I, up to 60 kW; class II, from 6</vt:lpstr>
      <vt:lpstr>    Although Class II and III net metering facilities are limited in size to 1 MW an</vt:lpstr>
      <vt:lpstr>    In the 2008 legislation, the aggregate capacity of net metering was limited to o</vt:lpstr>
      <vt:lpstr>    If a customer has net excess generation at the end of a billing cycle—meaning th</vt:lpstr>
      <vt:lpstr>    The type of generation (CHP v. solar);</vt:lpstr>
      <vt:lpstr>    The net metering class (the size of the system);</vt:lpstr>
      <vt:lpstr>    The rate class of the customer (residential v. commercial); and</vt:lpstr>
      <vt:lpstr>    For the Class III net metering facilities, whether the customer is a public enti</vt:lpstr>
      <vt:lpstr>    Net Metering credits never expire.  Any excess just continues to roll over. </vt:lpstr>
      <vt:lpstr>    Class III net metering facilities—but only Class III—can actually get paid, in </vt:lpstr>
      <vt:lpstr>    The GCA has a provision commonly referred to as “virtual” net metering.  That me</vt:lpstr>
      <vt:lpstr>    First, the budget bill created two categories of net metering facilities for the</vt:lpstr>
      <vt:lpstr>    Second, the budget bill imposed a cap on the total generating capacity of a publ</vt:lpstr>
      <vt:lpstr>    Third, the bill required the DPU to create a system of assurance, commonly refer</vt:lpstr>
      <vt:lpstr>    First, the 2012 act specifies that anaerobic digesters—regardless of whether the</vt:lpstr>
      <vt:lpstr>    Second, the act increased the public and private caps to three percent each.  So</vt:lpstr>
      <vt:lpstr>    Third, small renewable projects are now exempt from the private cap but may stil</vt:lpstr>
      <vt:lpstr>    Municipality means municipality.  Even the DPU couldn’t make that complicated.  </vt:lpstr>
      <vt:lpstr>    Other governmental entity includes the state and federal government.  Seems obvi</vt:lpstr>
      <vt:lpstr>    We declined to go further in identifying every single entity that could qualify </vt:lpstr>
    </vt:vector>
  </TitlesOfParts>
  <Company>Commonwealth of Massachusetts</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aberwick</dc:creator>
  <cp:lastModifiedBy>aberwick</cp:lastModifiedBy>
  <cp:revision>92</cp:revision>
  <dcterms:created xsi:type="dcterms:W3CDTF">2012-10-23T19:59:00Z</dcterms:created>
  <dcterms:modified xsi:type="dcterms:W3CDTF">2012-10-26T18:28:00Z</dcterms:modified>
</cp:coreProperties>
</file>